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26</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40</w:t>
      </w:r>
      <w:r>
        <w:rPr>
          <w:rFonts w:hint="eastAsia" w:ascii="Arial" w:hAnsi="Arial" w:eastAsia="宋体" w:cs="Arial"/>
          <w:b/>
          <w:kern w:val="0"/>
          <w:sz w:val="22"/>
          <w:lang w:val="en-US" w:eastAsia="zh-CN"/>
        </w:rPr>
        <w:t>5027</w:t>
      </w:r>
      <w:bookmarkStart w:id="2" w:name="_GoBack"/>
      <w:bookmarkEnd w:id="2"/>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Fukuoka, Japan May 22</w:t>
      </w:r>
      <w:r>
        <w:rPr>
          <w:rFonts w:hint="eastAsia" w:ascii="Arial" w:hAnsi="Arial" w:eastAsia="宋体" w:cs="Arial"/>
          <w:b/>
          <w:bCs/>
          <w:kern w:val="0"/>
          <w:sz w:val="24"/>
          <w:szCs w:val="24"/>
          <w:vertAlign w:val="superscript"/>
        </w:rPr>
        <w:t>nd</w:t>
      </w:r>
      <w:r>
        <w:rPr>
          <w:rFonts w:hint="eastAsia" w:ascii="Arial" w:hAnsi="Arial" w:eastAsia="宋体" w:cs="Arial"/>
          <w:b/>
          <w:bCs/>
          <w:kern w:val="0"/>
          <w:sz w:val="24"/>
          <w:szCs w:val="24"/>
        </w:rPr>
        <w:t>-26</w:t>
      </w:r>
      <w:r>
        <w:rPr>
          <w:rFonts w:hint="eastAsia" w:ascii="Arial" w:hAnsi="Arial" w:eastAsia="宋体" w:cs="Arial"/>
          <w:b/>
          <w:bCs/>
          <w:kern w:val="0"/>
          <w:sz w:val="24"/>
          <w:szCs w:val="24"/>
          <w:vertAlign w:val="superscript"/>
        </w:rPr>
        <w:t>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data collection for UE-sided model training</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The study objective on data collection for UE-sided model training was approved in [1].</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Study objectives with corresponding checkpoints in RAN#105 (Sept ’24):</w:t>
            </w:r>
          </w:p>
          <w:p>
            <w:pPr>
              <w:numPr>
                <w:ilvl w:val="0"/>
                <w:numId w:val="6"/>
              </w:num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 xml:space="preserve">Necessity and details of model Identification concept and procedure in the context of LCM [RAN2/RAN1] </w:t>
            </w:r>
          </w:p>
          <w:p>
            <w:pPr>
              <w:numPr>
                <w:ilvl w:val="0"/>
                <w:numId w:val="6"/>
              </w:numPr>
              <w:overflowPunct w:val="0"/>
              <w:autoSpaceDE w:val="0"/>
              <w:autoSpaceDN w:val="0"/>
              <w:adjustRightInd w:val="0"/>
              <w:textAlignment w:val="baseline"/>
              <w:rPr>
                <w:rFonts w:ascii="Arial" w:hAnsi="Arial" w:eastAsia="Malgun Gothic" w:cs="Arial"/>
                <w:bCs/>
                <w:sz w:val="20"/>
                <w:szCs w:val="21"/>
                <w:highlight w:val="yellow"/>
                <w:lang w:val="en-GB" w:eastAsia="en-GB"/>
              </w:rPr>
            </w:pPr>
            <w:r>
              <w:rPr>
                <w:rFonts w:ascii="Arial" w:hAnsi="Arial" w:eastAsia="Malgun Gothic" w:cs="Arial"/>
                <w:bCs/>
                <w:sz w:val="20"/>
                <w:szCs w:val="21"/>
                <w:highlight w:val="yellow"/>
                <w:lang w:val="en-GB" w:eastAsia="en-GB"/>
              </w:rPr>
              <w:t xml:space="preserve">CN/OAM/OTT collection of UE-sided model training data [RAN2/RAN1]: </w:t>
            </w:r>
          </w:p>
          <w:p>
            <w:pPr>
              <w:numPr>
                <w:ilvl w:val="1"/>
                <w:numId w:val="6"/>
              </w:numPr>
              <w:overflowPunct w:val="0"/>
              <w:autoSpaceDE w:val="0"/>
              <w:autoSpaceDN w:val="0"/>
              <w:adjustRightInd w:val="0"/>
              <w:textAlignment w:val="baseline"/>
              <w:rPr>
                <w:rFonts w:ascii="Arial" w:hAnsi="Arial" w:eastAsia="Malgun Gothic" w:cs="Arial"/>
                <w:bCs/>
                <w:sz w:val="20"/>
                <w:szCs w:val="21"/>
                <w:highlight w:val="yellow"/>
                <w:lang w:val="en-GB" w:eastAsia="en-GB"/>
              </w:rPr>
            </w:pPr>
            <w:bookmarkStart w:id="0" w:name="_Hlk152950182"/>
            <w:r>
              <w:rPr>
                <w:rFonts w:ascii="Arial" w:hAnsi="Arial" w:eastAsia="Malgun Gothic" w:cs="Arial"/>
                <w:bCs/>
                <w:sz w:val="20"/>
                <w:szCs w:val="21"/>
                <w:highlight w:val="yellow"/>
                <w:lang w:val="en-GB" w:eastAsia="en-GB"/>
              </w:rPr>
              <w:t>For the FS_NR_AIML_Air study use cases, identify the corresponding contents of UE data collection</w:t>
            </w:r>
          </w:p>
          <w:p>
            <w:pPr>
              <w:numPr>
                <w:ilvl w:val="1"/>
                <w:numId w:val="6"/>
              </w:numPr>
              <w:overflowPunct w:val="0"/>
              <w:autoSpaceDE w:val="0"/>
              <w:autoSpaceDN w:val="0"/>
              <w:adjustRightInd w:val="0"/>
              <w:textAlignment w:val="baseline"/>
              <w:rPr>
                <w:rFonts w:ascii="Arial" w:hAnsi="Arial" w:eastAsia="Malgun Gothic" w:cs="Arial"/>
                <w:bCs/>
                <w:sz w:val="20"/>
                <w:szCs w:val="21"/>
                <w:highlight w:val="yellow"/>
                <w:lang w:val="en-GB" w:eastAsia="en-GB"/>
              </w:rPr>
            </w:pPr>
            <w:r>
              <w:rPr>
                <w:rFonts w:ascii="Arial" w:hAnsi="Arial" w:eastAsia="Malgun Gothic" w:cs="Arial"/>
                <w:bCs/>
                <w:sz w:val="20"/>
                <w:szCs w:val="21"/>
                <w:highlight w:val="yellow"/>
                <w:lang w:val="en-GB" w:eastAsia="en-GB"/>
              </w:rPr>
              <w:t>Analyse the UE data collection mechanisms identified during the FS_NR_AIML_Air (TR 38.843 section 7.2.1.3.2) study along with the implications and limitations of each of the methods</w:t>
            </w:r>
            <w:bookmarkEnd w:id="0"/>
            <w:r>
              <w:rPr>
                <w:rFonts w:ascii="Arial" w:hAnsi="Arial" w:eastAsia="Malgun Gothic" w:cs="Arial"/>
                <w:bCs/>
                <w:sz w:val="20"/>
                <w:szCs w:val="21"/>
                <w:highlight w:val="yellow"/>
                <w:lang w:val="en-GB" w:eastAsia="en-GB"/>
              </w:rPr>
              <w:t xml:space="preserve"> </w:t>
            </w:r>
          </w:p>
          <w:p>
            <w:pPr>
              <w:numPr>
                <w:ilvl w:val="0"/>
                <w:numId w:val="6"/>
              </w:num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 xml:space="preserve">Model transfer/delivery [RAN2/RAN1]: </w:t>
            </w:r>
          </w:p>
          <w:p>
            <w:pPr>
              <w:numPr>
                <w:ilvl w:val="1"/>
                <w:numId w:val="6"/>
              </w:numPr>
              <w:overflowPunct w:val="0"/>
              <w:autoSpaceDE w:val="0"/>
              <w:autoSpaceDN w:val="0"/>
              <w:adjustRightInd w:val="0"/>
              <w:textAlignment w:val="baseline"/>
              <w:rPr>
                <w:rFonts w:ascii="Arial" w:hAnsi="Arial" w:eastAsia="宋体" w:cs="Arial"/>
                <w:kern w:val="0"/>
                <w:sz w:val="20"/>
                <w:szCs w:val="20"/>
                <w:lang w:val="en-GB" w:eastAsia="en-GB"/>
              </w:rPr>
            </w:pPr>
            <w:bookmarkStart w:id="1" w:name="_Hlk152950348"/>
            <w:r>
              <w:rPr>
                <w:rFonts w:ascii="Arial" w:hAnsi="Arial" w:eastAsia="Malgun Gothic" w:cs="Arial"/>
                <w:bCs/>
                <w:sz w:val="20"/>
                <w:szCs w:val="21"/>
                <w:lang w:val="en-GB" w:eastAsia="en-GB"/>
              </w:rPr>
              <w:t xml:space="preserve">Determine whether there is a need to consider standardised solutions for transferring/delivering AI/ML model(s) considering at least the solutions identified during the </w:t>
            </w:r>
            <w:bookmarkEnd w:id="1"/>
            <w:r>
              <w:rPr>
                <w:rFonts w:ascii="Arial" w:hAnsi="Arial" w:eastAsia="Malgun Gothic" w:cs="Arial"/>
                <w:bCs/>
                <w:sz w:val="20"/>
                <w:szCs w:val="21"/>
                <w:lang w:val="en-GB" w:eastAsia="en-GB"/>
              </w:rPr>
              <w:t xml:space="preserve">FS_NR_AIML_Air study </w:t>
            </w:r>
          </w:p>
        </w:tc>
      </w:tr>
    </w:tbl>
    <w:p>
      <w:pPr>
        <w:pStyle w:val="32"/>
        <w:numPr>
          <w:ilvl w:val="0"/>
          <w:numId w:val="0"/>
        </w:numPr>
        <w:spacing w:before="120" w:after="180"/>
        <w:rPr>
          <w:rFonts w:ascii="Arial" w:hAnsi="Arial" w:cs="Arial"/>
          <w:b w:val="0"/>
          <w:bCs/>
          <w:sz w:val="20"/>
          <w:szCs w:val="20"/>
        </w:rPr>
      </w:pPr>
      <w:r>
        <w:rPr>
          <w:rFonts w:hint="eastAsia" w:ascii="Arial" w:hAnsi="Arial" w:cs="Arial"/>
          <w:b w:val="0"/>
          <w:bCs/>
          <w:sz w:val="20"/>
          <w:szCs w:val="21"/>
        </w:rPr>
        <w:t xml:space="preserve">During R18 study phase, </w:t>
      </w:r>
      <w:r>
        <w:rPr>
          <w:rFonts w:hint="eastAsia" w:ascii="Arial" w:hAnsi="Arial" w:cs="Arial"/>
          <w:b w:val="0"/>
          <w:bCs/>
          <w:sz w:val="20"/>
          <w:szCs w:val="20"/>
        </w:rPr>
        <w:t xml:space="preserve">RAN2 discussed how the OTT server to collect data for UE-sided model training, including direct way and indirect way (via CN or OAM) </w:t>
      </w:r>
      <w:r>
        <w:rPr>
          <w:rFonts w:hint="eastAsia" w:ascii="Arial" w:hAnsi="Arial" w:cs="Arial"/>
          <w:b w:val="0"/>
          <w:bCs/>
          <w:sz w:val="20"/>
          <w:szCs w:val="21"/>
        </w:rPr>
        <w:t xml:space="preserve">but had no recommendations agreed. The discussed proposals are captured in TR 38.843 [2]. </w:t>
      </w:r>
      <w:r>
        <w:rPr>
          <w:rFonts w:hint="eastAsia" w:ascii="Arial" w:hAnsi="Arial" w:cs="Arial"/>
          <w:b w:val="0"/>
          <w:bCs/>
          <w:sz w:val="20"/>
          <w:szCs w:val="20"/>
        </w:rPr>
        <w:t>In addition, RAN2 also discussed the data collection requirements but had no consensus.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numPr>
                <w:ilvl w:val="3"/>
                <w:numId w:val="0"/>
              </w:numPr>
              <w:spacing w:before="120"/>
              <w:ind w:right="210"/>
              <w:rPr>
                <w:rFonts w:cs="Arial"/>
                <w:i w:val="0"/>
                <w:iCs/>
                <w:lang w:val="en-GB" w:eastAsia="en-GB"/>
              </w:rPr>
            </w:pPr>
            <w:r>
              <w:rPr>
                <w:rFonts w:cs="Arial"/>
                <w:i w:val="0"/>
                <w:iCs/>
                <w:lang w:val="en-GB" w:eastAsia="en-GB"/>
              </w:rPr>
              <w:t>7.2.1.3.2</w:t>
            </w:r>
            <w:r>
              <w:rPr>
                <w:rFonts w:cs="Arial"/>
                <w:i w:val="0"/>
                <w:iCs/>
                <w:lang w:val="en-GB" w:eastAsia="en-GB"/>
              </w:rPr>
              <w:tab/>
            </w:r>
            <w:r>
              <w:rPr>
                <w:rFonts w:cs="Arial"/>
                <w:i w:val="0"/>
                <w:iCs/>
                <w:lang w:val="en-GB" w:eastAsia="en-GB"/>
              </w:rPr>
              <w:t xml:space="preserve">Data collection for UE-side model training </w:t>
            </w:r>
          </w:p>
          <w:p>
            <w:pPr>
              <w:rPr>
                <w:rFonts w:ascii="Arial" w:hAnsi="Arial" w:cs="Arial"/>
                <w:sz w:val="20"/>
                <w:szCs w:val="21"/>
                <w:lang w:val="en-GB" w:eastAsia="en-GB"/>
              </w:rPr>
            </w:pPr>
            <w:r>
              <w:rPr>
                <w:rFonts w:ascii="Arial" w:hAnsi="Arial" w:cs="Arial"/>
                <w:sz w:val="20"/>
                <w:szCs w:val="21"/>
                <w:lang w:val="en-GB" w:eastAsia="en-GB"/>
              </w:rPr>
              <w:t xml:space="preserve">The following proposals were discussed in RAN2: </w:t>
            </w:r>
          </w:p>
          <w:p>
            <w:pPr>
              <w:pStyle w:val="24"/>
              <w:rPr>
                <w:rFonts w:ascii="Arial" w:hAnsi="Arial" w:cs="Arial"/>
                <w:sz w:val="20"/>
                <w:szCs w:val="21"/>
                <w:lang w:val="en-GB" w:eastAsia="en-GB"/>
              </w:rPr>
            </w:pPr>
            <w:r>
              <w:rPr>
                <w:rFonts w:ascii="Arial" w:hAnsi="Arial" w:cs="Arial"/>
                <w:sz w:val="20"/>
                <w:szCs w:val="21"/>
                <w:lang w:val="en-GB" w:eastAsia="en-GB"/>
              </w:rPr>
              <w:t>1.</w:t>
            </w:r>
            <w:r>
              <w:rPr>
                <w:rFonts w:ascii="Arial" w:hAnsi="Arial" w:cs="Arial"/>
                <w:sz w:val="20"/>
                <w:szCs w:val="21"/>
                <w:lang w:val="en-GB" w:eastAsia="en-GB"/>
              </w:rPr>
              <w:tab/>
            </w:r>
            <w:r>
              <w:rPr>
                <w:rFonts w:ascii="Arial" w:hAnsi="Arial" w:cs="Arial"/>
                <w:sz w:val="20"/>
                <w:szCs w:val="21"/>
                <w:lang w:val="en-GB" w:eastAsia="en-GB"/>
              </w:rPr>
              <w:t>UE collects and directly transfers training data to the Over-The-Top (OTT) server;</w:t>
            </w:r>
          </w:p>
          <w:p>
            <w:pPr>
              <w:pStyle w:val="35"/>
              <w:rPr>
                <w:rFonts w:ascii="Arial" w:hAnsi="Arial" w:cs="Arial"/>
                <w:sz w:val="20"/>
                <w:szCs w:val="21"/>
                <w:lang w:val="en-GB" w:eastAsia="en-GB"/>
              </w:rPr>
            </w:pPr>
            <w:r>
              <w:rPr>
                <w:rFonts w:ascii="Arial" w:hAnsi="Arial" w:cs="Arial"/>
                <w:sz w:val="20"/>
                <w:szCs w:val="21"/>
                <w:lang w:val="en-GB" w:eastAsia="en-GB"/>
              </w:rPr>
              <w:t>1a)</w:t>
            </w:r>
            <w:r>
              <w:rPr>
                <w:rFonts w:ascii="Arial" w:hAnsi="Arial" w:cs="Arial"/>
                <w:sz w:val="20"/>
                <w:szCs w:val="21"/>
                <w:lang w:val="en-GB" w:eastAsia="en-GB"/>
              </w:rPr>
              <w:tab/>
            </w:r>
            <w:r>
              <w:rPr>
                <w:rFonts w:ascii="Arial" w:hAnsi="Arial" w:cs="Arial"/>
                <w:sz w:val="20"/>
                <w:szCs w:val="21"/>
                <w:lang w:val="en-GB" w:eastAsia="en-GB"/>
              </w:rPr>
              <w:t>OTT (T</w:t>
            </w:r>
            <w:r>
              <w:rPr>
                <w:rFonts w:hint="eastAsia" w:ascii="Arial" w:hAnsi="Arial" w:cs="Arial"/>
                <w:sz w:val="20"/>
                <w:szCs w:val="21"/>
                <w:lang w:val="en-GB" w:eastAsia="en-GB"/>
              </w:rPr>
              <w:t>r</w:t>
            </w:r>
            <w:r>
              <w:rPr>
                <w:rFonts w:ascii="Arial" w:hAnsi="Arial" w:cs="Arial"/>
                <w:sz w:val="20"/>
                <w:szCs w:val="21"/>
                <w:lang w:val="en-GB" w:eastAsia="en-GB"/>
              </w:rPr>
              <w:t>ansparent)</w:t>
            </w:r>
          </w:p>
          <w:p>
            <w:pPr>
              <w:pStyle w:val="35"/>
              <w:rPr>
                <w:rFonts w:ascii="Arial" w:hAnsi="Arial" w:cs="Arial"/>
                <w:sz w:val="20"/>
                <w:szCs w:val="21"/>
                <w:lang w:val="en-GB" w:eastAsia="en-GB"/>
              </w:rPr>
            </w:pPr>
            <w:r>
              <w:rPr>
                <w:rFonts w:ascii="Arial" w:hAnsi="Arial" w:cs="Arial"/>
                <w:sz w:val="20"/>
                <w:szCs w:val="21"/>
                <w:lang w:val="en-GB" w:eastAsia="en-GB"/>
              </w:rPr>
              <w:t>1b)</w:t>
            </w:r>
            <w:r>
              <w:rPr>
                <w:rFonts w:ascii="Arial" w:hAnsi="Arial" w:cs="Arial"/>
                <w:sz w:val="20"/>
                <w:szCs w:val="21"/>
                <w:lang w:val="en-GB" w:eastAsia="en-GB"/>
              </w:rPr>
              <w:tab/>
            </w:r>
            <w:r>
              <w:rPr>
                <w:rFonts w:ascii="Arial" w:hAnsi="Arial" w:cs="Arial"/>
                <w:sz w:val="20"/>
                <w:szCs w:val="21"/>
                <w:lang w:val="en-GB" w:eastAsia="en-GB"/>
              </w:rPr>
              <w:t>OTT (non-T</w:t>
            </w:r>
            <w:r>
              <w:rPr>
                <w:rFonts w:hint="eastAsia" w:ascii="Arial" w:hAnsi="Arial" w:cs="Arial"/>
                <w:sz w:val="20"/>
                <w:szCs w:val="21"/>
                <w:lang w:val="en-GB" w:eastAsia="en-GB"/>
              </w:rPr>
              <w:t>r</w:t>
            </w:r>
            <w:r>
              <w:rPr>
                <w:rFonts w:ascii="Arial" w:hAnsi="Arial" w:cs="Arial"/>
                <w:sz w:val="20"/>
                <w:szCs w:val="21"/>
                <w:lang w:val="en-GB" w:eastAsia="en-GB"/>
              </w:rPr>
              <w:t>ansparent)</w:t>
            </w:r>
          </w:p>
          <w:p>
            <w:pPr>
              <w:pStyle w:val="24"/>
              <w:rPr>
                <w:rFonts w:ascii="Arial" w:hAnsi="Arial" w:cs="Arial"/>
                <w:sz w:val="20"/>
                <w:szCs w:val="21"/>
                <w:lang w:val="en-GB" w:eastAsia="en-GB"/>
              </w:rPr>
            </w:pPr>
            <w:r>
              <w:rPr>
                <w:rFonts w:ascii="Arial" w:hAnsi="Arial" w:cs="Arial"/>
                <w:sz w:val="20"/>
                <w:szCs w:val="21"/>
                <w:lang w:val="en-GB" w:eastAsia="en-GB"/>
              </w:rPr>
              <w:t>2.</w:t>
            </w:r>
            <w:r>
              <w:rPr>
                <w:rFonts w:ascii="Arial" w:hAnsi="Arial" w:cs="Arial"/>
                <w:sz w:val="20"/>
                <w:szCs w:val="21"/>
                <w:lang w:val="en-GB" w:eastAsia="en-GB"/>
              </w:rPr>
              <w:tab/>
            </w:r>
            <w:r>
              <w:rPr>
                <w:rFonts w:ascii="Arial" w:hAnsi="Arial" w:cs="Arial"/>
                <w:sz w:val="20"/>
                <w:szCs w:val="21"/>
                <w:lang w:val="en-GB" w:eastAsia="en-GB"/>
              </w:rPr>
              <w:t>UE collects training data and transfers it to Core Network. Core Network transfers the training data to the OTT server.</w:t>
            </w:r>
          </w:p>
          <w:p>
            <w:pPr>
              <w:pStyle w:val="24"/>
              <w:rPr>
                <w:rFonts w:ascii="Arial" w:hAnsi="Arial" w:cs="Arial"/>
                <w:sz w:val="20"/>
                <w:szCs w:val="21"/>
                <w:lang w:val="en-GB" w:eastAsia="en-GB"/>
              </w:rPr>
            </w:pPr>
            <w:r>
              <w:rPr>
                <w:rFonts w:ascii="Arial" w:hAnsi="Arial" w:cs="Arial"/>
                <w:sz w:val="20"/>
                <w:szCs w:val="21"/>
                <w:lang w:val="en-GB" w:eastAsia="en-GB"/>
              </w:rPr>
              <w:t>3.</w:t>
            </w:r>
            <w:r>
              <w:rPr>
                <w:rFonts w:ascii="Arial" w:hAnsi="Arial" w:cs="Arial"/>
                <w:sz w:val="20"/>
                <w:szCs w:val="21"/>
                <w:lang w:val="en-GB" w:eastAsia="en-GB"/>
              </w:rPr>
              <w:tab/>
            </w:r>
            <w:r>
              <w:rPr>
                <w:rFonts w:ascii="Arial" w:hAnsi="Arial" w:cs="Arial"/>
                <w:sz w:val="20"/>
                <w:szCs w:val="21"/>
                <w:lang w:val="en-GB" w:eastAsia="en-GB"/>
              </w:rPr>
              <w:t>UE collects training data and transfers it to OAM. OAM transfers the needed data to the OTT server.</w:t>
            </w:r>
          </w:p>
          <w:p>
            <w:pPr>
              <w:rPr>
                <w:lang w:val="en-GB" w:eastAsia="en-GB"/>
              </w:rPr>
            </w:pPr>
            <w:r>
              <w:rPr>
                <w:rFonts w:ascii="Arial" w:hAnsi="Arial" w:cs="Arial"/>
                <w:sz w:val="20"/>
                <w:szCs w:val="21"/>
                <w:lang w:val="en-GB" w:eastAsia="en-GB"/>
              </w:rPr>
              <w:t>RAN2 did not study or analyse these proposals and did not agree to requirements or recommendations.</w:t>
            </w:r>
          </w:p>
        </w:tc>
      </w:tr>
    </w:tbl>
    <w:p>
      <w:pPr>
        <w:widowControl/>
        <w:spacing w:before="120" w:beforeLines="50" w:after="180"/>
        <w:rPr>
          <w:rFonts w:ascii="Arial" w:hAnsi="Arial" w:eastAsia="宋体" w:cs="Arial"/>
          <w:kern w:val="0"/>
          <w:sz w:val="20"/>
          <w:szCs w:val="20"/>
        </w:rPr>
      </w:pPr>
      <w:r>
        <w:rPr>
          <w:rFonts w:hint="eastAsia" w:ascii="Arial" w:hAnsi="Arial" w:eastAsia="宋体" w:cs="Arial"/>
          <w:kern w:val="0"/>
          <w:sz w:val="20"/>
          <w:szCs w:val="20"/>
        </w:rPr>
        <w:t>In last meeting [3], RAN2 discussed the clarification of solutions and had the following understanding. Furthermore, the post email discussion [POST125bis][020][AI/ML PHY] UE side data collection (Mediatek) discussed the termination entity, controllability, visibility, privacy, etc.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5"/>
              <w:ind w:left="573" w:leftChars="100"/>
              <w:rPr>
                <w:rFonts w:ascii="Arial" w:hAnsi="Arial" w:cs="Arial"/>
                <w:sz w:val="20"/>
                <w:szCs w:val="22"/>
                <w:lang w:val="en-GB" w:eastAsia="en-GB"/>
              </w:rPr>
            </w:pPr>
            <w:r>
              <w:rPr>
                <w:rFonts w:ascii="Arial" w:hAnsi="Arial" w:cs="Arial"/>
                <w:sz w:val="20"/>
                <w:szCs w:val="22"/>
                <w:lang w:val="en-GB" w:eastAsia="en-GB"/>
              </w:rPr>
              <w:t>=&gt;</w:t>
            </w:r>
            <w:r>
              <w:rPr>
                <w:rFonts w:ascii="Arial" w:hAnsi="Arial" w:cs="Arial"/>
                <w:sz w:val="20"/>
                <w:szCs w:val="22"/>
                <w:lang w:val="en-GB" w:eastAsia="en-GB"/>
              </w:rPr>
              <w:tab/>
            </w:r>
            <w:r>
              <w:rPr>
                <w:rFonts w:ascii="Arial" w:hAnsi="Arial" w:cs="Arial"/>
                <w:sz w:val="20"/>
                <w:szCs w:val="22"/>
                <w:lang w:val="en-GB" w:eastAsia="en-GB"/>
              </w:rPr>
              <w:t xml:space="preserve">need to better define what is control of data collection in MNO and visibility of data content in MNO.  </w:t>
            </w:r>
          </w:p>
          <w:p>
            <w:pPr>
              <w:pStyle w:val="25"/>
              <w:ind w:left="573" w:leftChars="100"/>
              <w:rPr>
                <w:rFonts w:ascii="Arial" w:hAnsi="Arial" w:eastAsia="宋体" w:cs="Arial"/>
                <w:kern w:val="0"/>
                <w:sz w:val="20"/>
                <w:szCs w:val="20"/>
                <w:lang w:val="en-GB" w:eastAsia="en-GB"/>
              </w:rPr>
            </w:pPr>
            <w:r>
              <w:rPr>
                <w:rFonts w:ascii="Arial" w:hAnsi="Arial" w:cs="Arial"/>
                <w:sz w:val="20"/>
                <w:szCs w:val="22"/>
                <w:lang w:val="en-GB" w:eastAsia="en-GB"/>
              </w:rPr>
              <w:t>=&gt;</w:t>
            </w:r>
            <w:r>
              <w:rPr>
                <w:rFonts w:ascii="Arial" w:hAnsi="Arial" w:cs="Arial"/>
                <w:sz w:val="20"/>
                <w:szCs w:val="22"/>
                <w:lang w:val="en-GB" w:eastAsia="en-GB"/>
              </w:rPr>
              <w:tab/>
            </w:r>
            <w:r>
              <w:rPr>
                <w:rFonts w:ascii="Arial" w:hAnsi="Arial" w:cs="Arial"/>
                <w:sz w:val="20"/>
                <w:szCs w:val="22"/>
                <w:lang w:val="en-GB" w:eastAsia="en-GB"/>
              </w:rPr>
              <w:t>understanding is that OTT is outside of MNO</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discuss the related aspects on data collection for UE-sided model training</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spacing w:before="120" w:beforeLines="50" w:after="120"/>
        <w:outlineLvl w:val="1"/>
        <w:rPr>
          <w:rFonts w:ascii="Arial" w:hAnsi="Arial" w:cs="Arial"/>
          <w:b/>
          <w:sz w:val="28"/>
          <w:szCs w:val="28"/>
        </w:rPr>
      </w:pPr>
      <w:r>
        <w:rPr>
          <w:rFonts w:hint="eastAsia" w:ascii="Arial" w:hAnsi="Arial" w:cs="Arial"/>
          <w:b/>
          <w:sz w:val="28"/>
          <w:szCs w:val="28"/>
        </w:rPr>
        <w:t>2.1 Requirements on data collection for UE-sided model training</w:t>
      </w:r>
    </w:p>
    <w:p>
      <w:pPr>
        <w:spacing w:before="120" w:beforeLines="50" w:after="120" w:line="260" w:lineRule="exact"/>
        <w:rPr>
          <w:rFonts w:ascii="Arial" w:hAnsi="Arial" w:cs="Arial"/>
          <w:bCs/>
          <w:sz w:val="20"/>
          <w:szCs w:val="20"/>
        </w:rPr>
      </w:pPr>
      <w:r>
        <w:rPr>
          <w:rFonts w:hint="eastAsia" w:ascii="Arial" w:hAnsi="Arial" w:cs="Arial"/>
          <w:bCs/>
          <w:sz w:val="20"/>
          <w:szCs w:val="20"/>
        </w:rPr>
        <w:t xml:space="preserve">From the perspective of operator, the UE privacy and data security are essential requirements. </w:t>
      </w:r>
    </w:p>
    <w:p>
      <w:pPr>
        <w:spacing w:before="120" w:beforeLines="50" w:after="120" w:line="260" w:lineRule="exact"/>
        <w:rPr>
          <w:rFonts w:ascii="Arial" w:hAnsi="Arial" w:cs="Arial"/>
          <w:bCs/>
          <w:sz w:val="20"/>
          <w:szCs w:val="20"/>
        </w:rPr>
      </w:pPr>
      <w:r>
        <w:rPr>
          <w:rFonts w:hint="eastAsia" w:ascii="Arial" w:hAnsi="Arial" w:cs="Arial"/>
          <w:bCs/>
          <w:sz w:val="20"/>
          <w:szCs w:val="20"/>
        </w:rPr>
        <w:t xml:space="preserve">In order to support </w:t>
      </w:r>
      <w:r>
        <w:rPr>
          <w:rFonts w:ascii="Arial" w:hAnsi="Arial" w:cs="Arial"/>
          <w:bCs/>
          <w:sz w:val="20"/>
          <w:szCs w:val="20"/>
        </w:rPr>
        <w:t>AI/ML model train</w:t>
      </w:r>
      <w:r>
        <w:rPr>
          <w:rFonts w:hint="eastAsia" w:ascii="Arial" w:hAnsi="Arial" w:cs="Arial"/>
          <w:bCs/>
          <w:sz w:val="20"/>
          <w:szCs w:val="20"/>
        </w:rPr>
        <w:t>ing</w:t>
      </w:r>
      <w:r>
        <w:rPr>
          <w:rFonts w:ascii="Arial" w:hAnsi="Arial" w:cs="Arial"/>
          <w:bCs/>
          <w:sz w:val="20"/>
          <w:szCs w:val="20"/>
        </w:rPr>
        <w:t xml:space="preserve"> at OTT server</w:t>
      </w:r>
      <w:r>
        <w:rPr>
          <w:rFonts w:hint="eastAsia" w:ascii="Arial" w:hAnsi="Arial" w:cs="Arial"/>
          <w:bCs/>
          <w:sz w:val="20"/>
          <w:szCs w:val="20"/>
        </w:rPr>
        <w:t>, at least the following principles should be applied to address user privacy issue:</w:t>
      </w:r>
    </w:p>
    <w:p>
      <w:pPr>
        <w:numPr>
          <w:ilvl w:val="0"/>
          <w:numId w:val="8"/>
        </w:numPr>
        <w:spacing w:before="120" w:beforeLines="50" w:after="120" w:line="260" w:lineRule="exact"/>
        <w:rPr>
          <w:rFonts w:ascii="Arial" w:hAnsi="Arial" w:cs="Arial"/>
          <w:bCs/>
          <w:sz w:val="20"/>
          <w:szCs w:val="20"/>
        </w:rPr>
      </w:pPr>
      <w:r>
        <w:rPr>
          <w:rFonts w:hint="eastAsia" w:ascii="Arial" w:hAnsi="Arial" w:cs="Arial"/>
          <w:bCs/>
          <w:sz w:val="20"/>
          <w:szCs w:val="20"/>
        </w:rPr>
        <w:t>T</w:t>
      </w:r>
      <w:r>
        <w:rPr>
          <w:rFonts w:ascii="Arial" w:hAnsi="Arial" w:cs="Arial"/>
          <w:bCs/>
          <w:sz w:val="20"/>
          <w:szCs w:val="20"/>
        </w:rPr>
        <w:t>he data collection procedure should be terminated within MNO</w:t>
      </w:r>
      <w:r>
        <w:rPr>
          <w:rFonts w:hint="eastAsia" w:ascii="Arial" w:hAnsi="Arial" w:cs="Arial"/>
          <w:bCs/>
          <w:sz w:val="20"/>
          <w:szCs w:val="20"/>
        </w:rPr>
        <w:t xml:space="preserve"> and controlled by MNO</w:t>
      </w:r>
      <w:r>
        <w:rPr>
          <w:rFonts w:ascii="Arial" w:hAnsi="Arial" w:cs="Arial"/>
          <w:bCs/>
          <w:sz w:val="20"/>
          <w:szCs w:val="20"/>
        </w:rPr>
        <w:t>, i.e., data collection entity is within MNO</w:t>
      </w:r>
      <w:r>
        <w:rPr>
          <w:rFonts w:hint="eastAsia" w:ascii="Arial" w:hAnsi="Arial" w:cs="Arial"/>
          <w:bCs/>
          <w:sz w:val="20"/>
          <w:szCs w:val="20"/>
        </w:rPr>
        <w:t xml:space="preserve"> trusted domain, e.g. CN, OAM. </w:t>
      </w:r>
    </w:p>
    <w:p>
      <w:pPr>
        <w:numPr>
          <w:ilvl w:val="0"/>
          <w:numId w:val="8"/>
        </w:numPr>
        <w:spacing w:before="120" w:beforeLines="50" w:after="120" w:line="260" w:lineRule="exact"/>
        <w:rPr>
          <w:rFonts w:ascii="Arial" w:hAnsi="Arial" w:cs="Arial"/>
          <w:bCs/>
          <w:sz w:val="20"/>
          <w:szCs w:val="20"/>
        </w:rPr>
      </w:pPr>
      <w:r>
        <w:rPr>
          <w:rFonts w:hint="eastAsia" w:ascii="Arial" w:hAnsi="Arial" w:cs="Arial"/>
          <w:bCs/>
          <w:sz w:val="20"/>
          <w:szCs w:val="20"/>
        </w:rPr>
        <w:t>T</w:t>
      </w:r>
      <w:r>
        <w:rPr>
          <w:rFonts w:ascii="Arial" w:hAnsi="Arial" w:cs="Arial"/>
          <w:bCs/>
          <w:sz w:val="20"/>
          <w:szCs w:val="20"/>
        </w:rPr>
        <w:t xml:space="preserve">he collected data should be interpretable by operator, i.e. </w:t>
      </w:r>
      <w:r>
        <w:rPr>
          <w:rFonts w:hint="eastAsia" w:ascii="Arial" w:hAnsi="Arial" w:cs="Arial"/>
          <w:bCs/>
          <w:sz w:val="20"/>
          <w:szCs w:val="20"/>
        </w:rPr>
        <w:t xml:space="preserve">the collected data should be comprehend by operator and the </w:t>
      </w:r>
      <w:r>
        <w:rPr>
          <w:rFonts w:ascii="Arial" w:hAnsi="Arial" w:cs="Arial"/>
          <w:bCs/>
          <w:sz w:val="20"/>
          <w:szCs w:val="20"/>
        </w:rPr>
        <w:t>container transparent to 3GPP is not acceptable</w:t>
      </w:r>
      <w:r>
        <w:rPr>
          <w:rFonts w:hint="eastAsia" w:ascii="Arial" w:hAnsi="Arial" w:cs="Arial"/>
          <w:bCs/>
          <w:sz w:val="20"/>
          <w:szCs w:val="20"/>
        </w:rPr>
        <w:t xml:space="preserve">. </w:t>
      </w:r>
    </w:p>
    <w:p>
      <w:pPr>
        <w:numPr>
          <w:ilvl w:val="0"/>
          <w:numId w:val="8"/>
        </w:numPr>
        <w:spacing w:before="120" w:beforeLines="50" w:after="120" w:line="260" w:lineRule="exact"/>
        <w:rPr>
          <w:rFonts w:ascii="Arial" w:hAnsi="Arial" w:cs="Arial"/>
          <w:bCs/>
          <w:sz w:val="20"/>
          <w:szCs w:val="20"/>
        </w:rPr>
      </w:pPr>
      <w:r>
        <w:rPr>
          <w:rFonts w:hint="eastAsia" w:ascii="Arial" w:hAnsi="Arial" w:cs="Arial"/>
          <w:bCs/>
          <w:sz w:val="20"/>
          <w:szCs w:val="20"/>
        </w:rPr>
        <w:t>The collected data needs to be anonymized before transferred to the third entities (with an SLA with the MNO) outside the MNO network, i.e. MNO has the ability to modify the collected data. The subscriber information needs to be removed, similar as what we do for MDT reports anonymization.</w:t>
      </w:r>
    </w:p>
    <w:p>
      <w:pPr>
        <w:spacing w:before="120" w:beforeLines="50" w:after="120" w:line="260" w:lineRule="exact"/>
        <w:rPr>
          <w:rFonts w:ascii="Arial" w:hAnsi="Arial" w:cs="Arial"/>
          <w:b/>
          <w:sz w:val="20"/>
          <w:szCs w:val="20"/>
        </w:rPr>
      </w:pPr>
      <w:r>
        <w:rPr>
          <w:rFonts w:hint="eastAsia" w:ascii="Arial" w:hAnsi="Arial" w:cs="Arial"/>
          <w:b/>
          <w:sz w:val="20"/>
          <w:szCs w:val="20"/>
        </w:rPr>
        <w:t>Proposal 1: For data collection for UE-sided model training in OTT server, at least the following requirements should be satisfied:</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he data collection procedure should be terminated within MNO</w:t>
      </w:r>
      <w:r>
        <w:rPr>
          <w:rFonts w:hint="eastAsia" w:ascii="Arial" w:hAnsi="Arial" w:cs="Arial"/>
          <w:b/>
          <w:sz w:val="20"/>
          <w:szCs w:val="20"/>
        </w:rPr>
        <w:t xml:space="preserve"> and controlled by MNO</w:t>
      </w:r>
      <w:r>
        <w:rPr>
          <w:rFonts w:ascii="Arial" w:hAnsi="Arial" w:cs="Arial"/>
          <w:b/>
          <w:sz w:val="20"/>
          <w:szCs w:val="20"/>
        </w:rPr>
        <w:t>, i.e., data collection entity is within MNO</w:t>
      </w:r>
      <w:r>
        <w:rPr>
          <w:rFonts w:hint="eastAsia" w:ascii="Arial" w:hAnsi="Arial" w:cs="Arial"/>
          <w:b/>
          <w:sz w:val="20"/>
          <w:szCs w:val="20"/>
        </w:rPr>
        <w:t xml:space="preserve"> trusted domain.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 xml:space="preserve">he collected data should be interpretable by operator, i.e. </w:t>
      </w:r>
      <w:r>
        <w:rPr>
          <w:rFonts w:hint="eastAsia" w:ascii="Arial" w:hAnsi="Arial" w:cs="Arial"/>
          <w:b/>
          <w:sz w:val="20"/>
          <w:szCs w:val="20"/>
        </w:rPr>
        <w:t xml:space="preserve">the collected data should be comprehended by operator and the </w:t>
      </w:r>
      <w:r>
        <w:rPr>
          <w:rFonts w:ascii="Arial" w:hAnsi="Arial" w:cs="Arial"/>
          <w:b/>
          <w:sz w:val="20"/>
          <w:szCs w:val="20"/>
        </w:rPr>
        <w:t>container transparent to 3GPP is not acceptable</w:t>
      </w:r>
      <w:r>
        <w:rPr>
          <w:rFonts w:hint="eastAsia" w:ascii="Arial" w:hAnsi="Arial" w:cs="Arial"/>
          <w:b/>
          <w:sz w:val="20"/>
          <w:szCs w:val="20"/>
        </w:rPr>
        <w:t xml:space="preserve">.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 xml:space="preserve">The collected data needs to be anonymized before transferred to the third entities (with an SLA with the MNO) outside the MNO network, i.e. MNO has the ability to modify the collected data. </w:t>
      </w:r>
    </w:p>
    <w:p>
      <w:pPr>
        <w:spacing w:before="120" w:beforeLines="50" w:after="120" w:line="260" w:lineRule="exact"/>
        <w:ind w:left="420"/>
        <w:rPr>
          <w:rFonts w:ascii="Arial" w:hAnsi="Arial" w:cs="Arial"/>
          <w:b/>
          <w:sz w:val="20"/>
          <w:szCs w:val="20"/>
        </w:rPr>
      </w:pPr>
    </w:p>
    <w:p>
      <w:pPr>
        <w:spacing w:before="120" w:beforeLines="50" w:after="120"/>
        <w:outlineLvl w:val="1"/>
        <w:rPr>
          <w:rFonts w:ascii="Arial" w:hAnsi="Arial" w:cs="Arial"/>
          <w:b/>
          <w:sz w:val="28"/>
          <w:szCs w:val="28"/>
        </w:rPr>
      </w:pPr>
      <w:r>
        <w:rPr>
          <w:rFonts w:hint="eastAsia" w:ascii="Arial" w:hAnsi="Arial" w:cs="Arial"/>
          <w:b/>
          <w:sz w:val="28"/>
          <w:szCs w:val="28"/>
        </w:rPr>
        <w:t>2.2 Understanding on potential solutions</w:t>
      </w:r>
    </w:p>
    <w:p>
      <w:pPr>
        <w:spacing w:before="120" w:beforeLines="50" w:after="120" w:line="260" w:lineRule="exact"/>
        <w:rPr>
          <w:rFonts w:ascii="Arial" w:hAnsi="Arial" w:cs="Arial"/>
          <w:bCs/>
          <w:sz w:val="20"/>
          <w:szCs w:val="20"/>
        </w:rPr>
      </w:pPr>
      <w:r>
        <w:rPr>
          <w:rFonts w:hint="eastAsia" w:ascii="Arial" w:hAnsi="Arial" w:cs="Arial"/>
          <w:bCs/>
          <w:sz w:val="20"/>
          <w:szCs w:val="20"/>
        </w:rPr>
        <w:t>During the post email discussion on UE side data collection [4], companies discussed the location of the server for UE-side data collection, (first) termination entity, etc. for each solution.</w:t>
      </w:r>
    </w:p>
    <w:p>
      <w:pPr>
        <w:spacing w:before="120" w:beforeLines="50" w:after="120" w:line="260" w:lineRule="exact"/>
        <w:rPr>
          <w:rFonts w:ascii="Arial" w:hAnsi="Arial" w:cs="Arial"/>
          <w:bCs/>
          <w:sz w:val="20"/>
          <w:szCs w:val="20"/>
        </w:rPr>
      </w:pPr>
      <w:r>
        <w:rPr>
          <w:rFonts w:hint="eastAsia" w:ascii="Arial" w:hAnsi="Arial" w:cs="Arial"/>
          <w:bCs/>
          <w:sz w:val="20"/>
          <w:szCs w:val="20"/>
        </w:rPr>
        <w:t>For solution 1b), i.e. UE collects and directly transfers training data to the OTT server via non-transparent way, majority of companies think the server for UE-side data collection can be inside or outside of MNO.</w:t>
      </w:r>
    </w:p>
    <w:p>
      <w:pPr>
        <w:spacing w:before="120" w:beforeLines="50" w:after="120" w:line="260" w:lineRule="exact"/>
        <w:rPr>
          <w:rFonts w:ascii="Arial" w:hAnsi="Arial" w:cs="Arial"/>
          <w:bCs/>
          <w:sz w:val="20"/>
          <w:szCs w:val="20"/>
        </w:rPr>
      </w:pPr>
      <w:r>
        <w:rPr>
          <w:rFonts w:hint="eastAsia" w:ascii="Arial" w:hAnsi="Arial" w:cs="Arial"/>
          <w:bCs/>
          <w:sz w:val="20"/>
          <w:szCs w:val="20"/>
        </w:rPr>
        <w:t>However, in our understanding, if the server for data collection is outside of MNO, solution 1b) is the same as solution 1a), since the collected data is directly transferred to the external server. And if the server is inside of MNO, solution 1b) can be reflected to solution 2 and 3, since the collected data firstly are terminated within MNO, and then transferred to the OTT server for training.</w:t>
      </w:r>
    </w:p>
    <w:p>
      <w:pPr>
        <w:spacing w:before="120" w:beforeLines="50" w:after="120" w:line="260" w:lineRule="exact"/>
        <w:rPr>
          <w:rFonts w:ascii="Arial" w:hAnsi="Arial" w:cs="Arial"/>
          <w:b/>
          <w:sz w:val="20"/>
          <w:szCs w:val="20"/>
        </w:rPr>
      </w:pPr>
      <w:r>
        <w:rPr>
          <w:rFonts w:hint="eastAsia" w:ascii="Arial" w:hAnsi="Arial" w:cs="Arial"/>
          <w:b/>
          <w:sz w:val="20"/>
          <w:szCs w:val="20"/>
        </w:rPr>
        <w:t>Observation 1: For solution 1b), we understand that if the server for data collection is outside of MNO, solution 1b) is the same as solution 1a), and if the server is inside of MNO, solution 1b) can be reflected to solution 2 (CN) and solution 3 (OAM).</w:t>
      </w:r>
    </w:p>
    <w:p>
      <w:pPr>
        <w:spacing w:before="120" w:beforeLines="50" w:after="120" w:line="260" w:lineRule="exact"/>
        <w:rPr>
          <w:rFonts w:ascii="Arial" w:hAnsi="Arial" w:cs="Arial"/>
          <w:bCs/>
          <w:sz w:val="20"/>
          <w:szCs w:val="20"/>
        </w:rPr>
      </w:pPr>
      <w:r>
        <w:rPr>
          <w:rFonts w:hint="eastAsia" w:ascii="Arial" w:hAnsi="Arial" w:cs="Arial"/>
          <w:bCs/>
          <w:sz w:val="20"/>
          <w:szCs w:val="20"/>
        </w:rPr>
        <w:t>Based on the above analysis, we suggest to remove solution 1b) for further discussion.</w:t>
      </w:r>
    </w:p>
    <w:p>
      <w:pPr>
        <w:spacing w:before="120" w:beforeLines="50" w:after="120" w:line="260" w:lineRule="exact"/>
        <w:rPr>
          <w:rFonts w:ascii="Arial" w:hAnsi="Arial" w:cs="Arial"/>
          <w:b/>
          <w:sz w:val="20"/>
          <w:szCs w:val="20"/>
        </w:rPr>
      </w:pPr>
      <w:r>
        <w:rPr>
          <w:rFonts w:hint="eastAsia" w:ascii="Arial" w:hAnsi="Arial" w:cs="Arial"/>
          <w:b/>
          <w:sz w:val="20"/>
          <w:szCs w:val="20"/>
        </w:rPr>
        <w:t>Proposal 2: It is suggest</w:t>
      </w:r>
      <w:r>
        <w:rPr>
          <w:rFonts w:hint="eastAsia" w:ascii="Arial" w:hAnsi="Arial" w:cs="Arial"/>
          <w:b/>
          <w:sz w:val="20"/>
          <w:szCs w:val="20"/>
          <w:lang w:val="en-US" w:eastAsia="zh-CN"/>
        </w:rPr>
        <w:t>ed</w:t>
      </w:r>
      <w:r>
        <w:rPr>
          <w:rFonts w:hint="eastAsia" w:ascii="Arial" w:hAnsi="Arial" w:cs="Arial"/>
          <w:b/>
          <w:sz w:val="20"/>
          <w:szCs w:val="20"/>
        </w:rPr>
        <w:t xml:space="preserve"> to remove solution 1b) for further discussion.</w:t>
      </w:r>
    </w:p>
    <w:p>
      <w:pPr>
        <w:spacing w:before="120" w:beforeLines="50" w:after="120" w:line="260" w:lineRule="exact"/>
        <w:rPr>
          <w:rFonts w:ascii="Arial" w:hAnsi="Arial" w:cs="Arial"/>
          <w:bCs/>
          <w:sz w:val="20"/>
          <w:szCs w:val="20"/>
        </w:rPr>
      </w:pPr>
    </w:p>
    <w:p>
      <w:pPr>
        <w:spacing w:before="120" w:beforeLines="50" w:after="120"/>
        <w:outlineLvl w:val="1"/>
        <w:rPr>
          <w:rFonts w:ascii="Arial" w:hAnsi="Arial" w:cs="Arial"/>
          <w:b/>
          <w:sz w:val="28"/>
          <w:szCs w:val="28"/>
        </w:rPr>
      </w:pPr>
      <w:r>
        <w:rPr>
          <w:rFonts w:hint="eastAsia" w:ascii="Arial" w:hAnsi="Arial" w:cs="Arial"/>
          <w:b/>
          <w:sz w:val="28"/>
          <w:szCs w:val="28"/>
        </w:rPr>
        <w:t>2.3 UE-sided model training location</w:t>
      </w:r>
    </w:p>
    <w:p>
      <w:pPr>
        <w:spacing w:before="120" w:beforeLines="50" w:after="120" w:line="260" w:lineRule="exact"/>
        <w:rPr>
          <w:rFonts w:ascii="Arial" w:hAnsi="Arial" w:cs="Arial"/>
          <w:bCs/>
          <w:sz w:val="20"/>
          <w:szCs w:val="20"/>
        </w:rPr>
      </w:pPr>
      <w:r>
        <w:rPr>
          <w:rFonts w:hint="eastAsia" w:ascii="Arial" w:hAnsi="Arial" w:cs="Arial"/>
          <w:bCs/>
          <w:sz w:val="20"/>
          <w:szCs w:val="20"/>
        </w:rPr>
        <w:t>During R18 study, RAN2 only agreed that UE-sided</w:t>
      </w:r>
      <w:r>
        <w:rPr>
          <w:rFonts w:ascii="Arial" w:hAnsi="Arial" w:cs="Arial"/>
          <w:bCs/>
          <w:sz w:val="20"/>
          <w:szCs w:val="20"/>
        </w:rPr>
        <w:t xml:space="preserve"> model is trained at OTT server </w:t>
      </w:r>
      <w:r>
        <w:rPr>
          <w:rFonts w:hint="eastAsia" w:ascii="Arial" w:hAnsi="Arial" w:cs="Arial"/>
          <w:bCs/>
          <w:sz w:val="20"/>
          <w:szCs w:val="20"/>
        </w:rPr>
        <w:t xml:space="preserve">during the discussion on mapping of AI/ML functions to physical entities, but no conclusion on NW side for UE-sided model training, e.g. gNB, OAM, CN.   </w:t>
      </w:r>
    </w:p>
    <w:p>
      <w:pPr>
        <w:spacing w:before="120" w:beforeLines="50" w:after="120" w:line="260" w:lineRule="exact"/>
        <w:rPr>
          <w:rFonts w:ascii="Arial" w:hAnsi="Arial" w:cs="Arial"/>
          <w:bCs/>
          <w:sz w:val="20"/>
          <w:szCs w:val="20"/>
        </w:rPr>
      </w:pPr>
      <w:r>
        <w:rPr>
          <w:rFonts w:hint="eastAsia" w:ascii="Arial" w:hAnsi="Arial" w:cs="Arial"/>
          <w:bCs/>
          <w:sz w:val="20"/>
          <w:szCs w:val="20"/>
        </w:rPr>
        <w:t xml:space="preserve">However, RAN1 agreed that the training location can reside UE-side, NW-side and neutral site, and discussed the following cases for model delivery/transfer with different training location.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3831"/>
        <w:gridCol w:w="2196"/>
        <w:gridCol w:w="2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pPr>
              <w:rPr>
                <w:rFonts w:ascii="Arial" w:hAnsi="Arial" w:cs="Arial"/>
                <w:b/>
                <w:sz w:val="20"/>
                <w:szCs w:val="20"/>
              </w:rPr>
            </w:pPr>
            <w:r>
              <w:rPr>
                <w:rFonts w:ascii="Arial" w:hAnsi="Arial" w:cs="Arial"/>
                <w:b/>
                <w:sz w:val="20"/>
                <w:szCs w:val="20"/>
              </w:rPr>
              <w:t>Case</w:t>
            </w:r>
          </w:p>
        </w:tc>
        <w:tc>
          <w:tcPr>
            <w:tcW w:w="3831" w:type="dxa"/>
            <w:shd w:val="clear" w:color="auto" w:fill="D8D8D8" w:themeFill="background1" w:themeFillShade="D9"/>
          </w:tcPr>
          <w:p>
            <w:pPr>
              <w:rPr>
                <w:rFonts w:ascii="Arial" w:hAnsi="Arial" w:cs="Arial"/>
                <w:b/>
                <w:sz w:val="20"/>
                <w:szCs w:val="20"/>
              </w:rPr>
            </w:pPr>
            <w:r>
              <w:rPr>
                <w:rFonts w:ascii="Arial" w:hAnsi="Arial" w:cs="Arial"/>
                <w:b/>
                <w:sz w:val="20"/>
                <w:szCs w:val="20"/>
              </w:rPr>
              <w:t>Model delivery/transfer</w:t>
            </w:r>
          </w:p>
        </w:tc>
        <w:tc>
          <w:tcPr>
            <w:tcW w:w="2196" w:type="dxa"/>
            <w:shd w:val="clear" w:color="auto" w:fill="D8D8D8" w:themeFill="background1" w:themeFillShade="D9"/>
          </w:tcPr>
          <w:p>
            <w:pPr>
              <w:rPr>
                <w:rFonts w:ascii="Arial" w:hAnsi="Arial" w:cs="Arial"/>
                <w:b/>
                <w:sz w:val="20"/>
                <w:szCs w:val="20"/>
              </w:rPr>
            </w:pPr>
            <w:r>
              <w:rPr>
                <w:rFonts w:ascii="Arial" w:hAnsi="Arial" w:cs="Arial"/>
                <w:b/>
                <w:sz w:val="20"/>
                <w:szCs w:val="20"/>
              </w:rPr>
              <w:t>Model storage location</w:t>
            </w:r>
          </w:p>
        </w:tc>
        <w:tc>
          <w:tcPr>
            <w:tcW w:w="2974" w:type="dxa"/>
            <w:shd w:val="clear" w:color="auto" w:fill="D8D8D8" w:themeFill="background1" w:themeFillShade="D9"/>
          </w:tcPr>
          <w:p>
            <w:pPr>
              <w:rPr>
                <w:rFonts w:ascii="Arial" w:hAnsi="Arial" w:cs="Arial"/>
                <w:b/>
                <w:sz w:val="20"/>
                <w:szCs w:val="20"/>
              </w:rPr>
            </w:pPr>
            <w:r>
              <w:rPr>
                <w:rFonts w:ascii="Arial" w:hAnsi="Arial" w:cs="Arial"/>
                <w:b/>
                <w:sz w:val="20"/>
                <w:szCs w:val="20"/>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pPr>
              <w:rPr>
                <w:rFonts w:ascii="Arial" w:hAnsi="Arial" w:cs="Arial"/>
                <w:b/>
                <w:sz w:val="20"/>
                <w:szCs w:val="20"/>
              </w:rPr>
            </w:pPr>
            <w:r>
              <w:rPr>
                <w:rFonts w:ascii="Arial" w:hAnsi="Arial" w:cs="Arial"/>
                <w:b/>
                <w:sz w:val="20"/>
                <w:szCs w:val="20"/>
              </w:rPr>
              <w:t>y</w:t>
            </w:r>
          </w:p>
        </w:tc>
        <w:tc>
          <w:tcPr>
            <w:tcW w:w="3831" w:type="dxa"/>
            <w:shd w:val="clear" w:color="auto" w:fill="auto"/>
          </w:tcPr>
          <w:p>
            <w:pPr>
              <w:rPr>
                <w:rFonts w:ascii="Arial" w:hAnsi="Arial" w:cs="Arial"/>
                <w:sz w:val="20"/>
                <w:szCs w:val="20"/>
              </w:rPr>
            </w:pPr>
            <w:r>
              <w:rPr>
                <w:rFonts w:ascii="Arial" w:hAnsi="Arial" w:cs="Arial"/>
                <w:sz w:val="20"/>
                <w:szCs w:val="20"/>
              </w:rPr>
              <w:t>model delivery (if needed) over-the-top.</w:t>
            </w:r>
          </w:p>
        </w:tc>
        <w:tc>
          <w:tcPr>
            <w:tcW w:w="2196" w:type="dxa"/>
            <w:shd w:val="clear" w:color="auto" w:fill="auto"/>
          </w:tcPr>
          <w:p>
            <w:pPr>
              <w:rPr>
                <w:rFonts w:ascii="Arial" w:hAnsi="Arial" w:cs="Arial"/>
                <w:sz w:val="20"/>
                <w:szCs w:val="20"/>
              </w:rPr>
            </w:pPr>
            <w:r>
              <w:rPr>
                <w:rFonts w:ascii="Arial" w:hAnsi="Arial" w:cs="Arial"/>
                <w:sz w:val="20"/>
                <w:szCs w:val="20"/>
              </w:rPr>
              <w:t>Outside 3GPP Network</w:t>
            </w:r>
          </w:p>
        </w:tc>
        <w:tc>
          <w:tcPr>
            <w:tcW w:w="2974" w:type="dxa"/>
            <w:shd w:val="clear" w:color="auto" w:fill="auto"/>
          </w:tcPr>
          <w:p>
            <w:pPr>
              <w:rPr>
                <w:rFonts w:ascii="Arial" w:hAnsi="Arial" w:cs="Arial"/>
                <w:sz w:val="20"/>
                <w:szCs w:val="20"/>
              </w:rPr>
            </w:pPr>
            <w:r>
              <w:rPr>
                <w:rFonts w:ascii="Arial" w:hAnsi="Arial" w:cs="Arial"/>
                <w:sz w:val="20"/>
                <w:szCs w:val="20"/>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pPr>
              <w:rPr>
                <w:rFonts w:ascii="Arial" w:hAnsi="Arial" w:cs="Arial"/>
                <w:b/>
                <w:sz w:val="20"/>
                <w:szCs w:val="20"/>
              </w:rPr>
            </w:pPr>
            <w:r>
              <w:rPr>
                <w:rFonts w:ascii="Arial" w:hAnsi="Arial" w:cs="Arial"/>
                <w:b/>
                <w:sz w:val="20"/>
                <w:szCs w:val="20"/>
              </w:rPr>
              <w:t>z1</w:t>
            </w:r>
          </w:p>
        </w:tc>
        <w:tc>
          <w:tcPr>
            <w:tcW w:w="3831" w:type="dxa"/>
            <w:shd w:val="clear" w:color="auto" w:fill="auto"/>
          </w:tcPr>
          <w:p>
            <w:pPr>
              <w:rPr>
                <w:rFonts w:ascii="Arial" w:hAnsi="Arial" w:cs="Arial"/>
                <w:sz w:val="20"/>
                <w:szCs w:val="20"/>
              </w:rPr>
            </w:pPr>
            <w:r>
              <w:rPr>
                <w:rFonts w:ascii="Arial" w:hAnsi="Arial" w:cs="Arial"/>
                <w:sz w:val="20"/>
                <w:szCs w:val="20"/>
              </w:rPr>
              <w:t>model transfer in proprietary format.</w:t>
            </w:r>
          </w:p>
        </w:tc>
        <w:tc>
          <w:tcPr>
            <w:tcW w:w="2196" w:type="dxa"/>
            <w:shd w:val="clear" w:color="auto" w:fill="auto"/>
          </w:tcPr>
          <w:p>
            <w:pPr>
              <w:rPr>
                <w:rFonts w:ascii="Arial" w:hAnsi="Arial" w:cs="Arial"/>
                <w:sz w:val="20"/>
                <w:szCs w:val="20"/>
              </w:rPr>
            </w:pPr>
            <w:r>
              <w:rPr>
                <w:rFonts w:ascii="Arial" w:hAnsi="Arial" w:cs="Arial"/>
                <w:sz w:val="20"/>
                <w:szCs w:val="20"/>
              </w:rPr>
              <w:t>3GPP Network</w:t>
            </w:r>
          </w:p>
        </w:tc>
        <w:tc>
          <w:tcPr>
            <w:tcW w:w="2974" w:type="dxa"/>
            <w:shd w:val="clear" w:color="auto" w:fill="auto"/>
          </w:tcPr>
          <w:p>
            <w:pPr>
              <w:rPr>
                <w:rFonts w:ascii="Arial" w:hAnsi="Arial" w:cs="Arial"/>
                <w:sz w:val="20"/>
                <w:szCs w:val="20"/>
              </w:rPr>
            </w:pPr>
            <w:r>
              <w:rPr>
                <w:rFonts w:ascii="Arial" w:hAnsi="Arial" w:cs="Arial"/>
                <w:sz w:val="20"/>
                <w:szCs w:val="20"/>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pPr>
              <w:rPr>
                <w:rFonts w:ascii="Arial" w:hAnsi="Arial" w:cs="Arial"/>
                <w:b/>
                <w:sz w:val="20"/>
                <w:szCs w:val="20"/>
              </w:rPr>
            </w:pPr>
            <w:r>
              <w:rPr>
                <w:rFonts w:ascii="Arial" w:hAnsi="Arial" w:cs="Arial"/>
                <w:b/>
                <w:sz w:val="20"/>
                <w:szCs w:val="20"/>
              </w:rPr>
              <w:t>z2</w:t>
            </w:r>
          </w:p>
        </w:tc>
        <w:tc>
          <w:tcPr>
            <w:tcW w:w="3831" w:type="dxa"/>
            <w:shd w:val="clear" w:color="auto" w:fill="auto"/>
          </w:tcPr>
          <w:p>
            <w:pPr>
              <w:rPr>
                <w:rFonts w:ascii="Arial" w:hAnsi="Arial" w:cs="Arial"/>
                <w:sz w:val="20"/>
                <w:szCs w:val="20"/>
              </w:rPr>
            </w:pPr>
            <w:r>
              <w:rPr>
                <w:rFonts w:ascii="Arial" w:hAnsi="Arial" w:cs="Arial"/>
                <w:sz w:val="20"/>
                <w:szCs w:val="20"/>
              </w:rPr>
              <w:t>model transfer in proprietary format.</w:t>
            </w:r>
          </w:p>
        </w:tc>
        <w:tc>
          <w:tcPr>
            <w:tcW w:w="2196" w:type="dxa"/>
            <w:shd w:val="clear" w:color="auto" w:fill="auto"/>
          </w:tcPr>
          <w:p>
            <w:pPr>
              <w:rPr>
                <w:rFonts w:ascii="Arial" w:hAnsi="Arial" w:cs="Arial"/>
                <w:sz w:val="20"/>
                <w:szCs w:val="20"/>
              </w:rPr>
            </w:pPr>
            <w:r>
              <w:rPr>
                <w:rFonts w:ascii="Arial" w:hAnsi="Arial" w:cs="Arial"/>
                <w:sz w:val="20"/>
                <w:szCs w:val="20"/>
              </w:rPr>
              <w:t>3GPP Network</w:t>
            </w:r>
          </w:p>
        </w:tc>
        <w:tc>
          <w:tcPr>
            <w:tcW w:w="2974" w:type="dxa"/>
            <w:shd w:val="clear" w:color="auto" w:fill="auto"/>
          </w:tcPr>
          <w:p>
            <w:pPr>
              <w:rPr>
                <w:rFonts w:ascii="Arial" w:hAnsi="Arial" w:cs="Arial"/>
                <w:sz w:val="20"/>
                <w:szCs w:val="20"/>
              </w:rPr>
            </w:pPr>
            <w:r>
              <w:rPr>
                <w:rFonts w:ascii="Arial" w:hAnsi="Arial" w:cs="Arial"/>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pPr>
              <w:rPr>
                <w:rFonts w:ascii="Arial" w:hAnsi="Arial" w:cs="Arial"/>
                <w:b/>
                <w:sz w:val="20"/>
                <w:szCs w:val="20"/>
              </w:rPr>
            </w:pPr>
            <w:r>
              <w:rPr>
                <w:rFonts w:ascii="Arial" w:hAnsi="Arial" w:cs="Arial"/>
                <w:b/>
                <w:sz w:val="20"/>
                <w:szCs w:val="20"/>
              </w:rPr>
              <w:t>z3</w:t>
            </w:r>
          </w:p>
        </w:tc>
        <w:tc>
          <w:tcPr>
            <w:tcW w:w="3831" w:type="dxa"/>
            <w:shd w:val="clear" w:color="auto" w:fill="auto"/>
          </w:tcPr>
          <w:p>
            <w:pPr>
              <w:rPr>
                <w:rFonts w:ascii="Arial" w:hAnsi="Arial" w:cs="Arial"/>
                <w:sz w:val="20"/>
                <w:szCs w:val="20"/>
              </w:rPr>
            </w:pPr>
            <w:r>
              <w:rPr>
                <w:rFonts w:ascii="Arial" w:hAnsi="Arial" w:cs="Arial"/>
                <w:sz w:val="20"/>
                <w:szCs w:val="20"/>
              </w:rPr>
              <w:t>model transfer in open format.</w:t>
            </w:r>
          </w:p>
        </w:tc>
        <w:tc>
          <w:tcPr>
            <w:tcW w:w="2196" w:type="dxa"/>
            <w:shd w:val="clear" w:color="auto" w:fill="auto"/>
          </w:tcPr>
          <w:p>
            <w:pPr>
              <w:rPr>
                <w:rFonts w:ascii="Arial" w:hAnsi="Arial" w:cs="Arial"/>
                <w:sz w:val="20"/>
                <w:szCs w:val="20"/>
              </w:rPr>
            </w:pPr>
            <w:r>
              <w:rPr>
                <w:rFonts w:ascii="Arial" w:hAnsi="Arial" w:cs="Arial"/>
                <w:sz w:val="20"/>
                <w:szCs w:val="20"/>
              </w:rPr>
              <w:t>3GPP Network</w:t>
            </w:r>
          </w:p>
        </w:tc>
        <w:tc>
          <w:tcPr>
            <w:tcW w:w="2974" w:type="dxa"/>
            <w:shd w:val="clear" w:color="auto" w:fill="auto"/>
          </w:tcPr>
          <w:p>
            <w:pPr>
              <w:rPr>
                <w:rFonts w:ascii="Arial" w:hAnsi="Arial" w:cs="Arial"/>
                <w:sz w:val="20"/>
                <w:szCs w:val="20"/>
              </w:rPr>
            </w:pPr>
            <w:r>
              <w:rPr>
                <w:rFonts w:ascii="Arial" w:hAnsi="Arial" w:cs="Arial"/>
                <w:sz w:val="20"/>
                <w:szCs w:val="20"/>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pPr>
              <w:rPr>
                <w:rFonts w:ascii="Arial" w:hAnsi="Arial" w:cs="Arial"/>
                <w:b/>
                <w:sz w:val="20"/>
                <w:szCs w:val="20"/>
              </w:rPr>
            </w:pPr>
            <w:r>
              <w:rPr>
                <w:rFonts w:ascii="Arial" w:hAnsi="Arial" w:cs="Arial"/>
                <w:b/>
                <w:sz w:val="20"/>
                <w:szCs w:val="20"/>
              </w:rPr>
              <w:t>z4</w:t>
            </w:r>
          </w:p>
        </w:tc>
        <w:tc>
          <w:tcPr>
            <w:tcW w:w="3831" w:type="dxa"/>
            <w:shd w:val="clear" w:color="auto" w:fill="auto"/>
          </w:tcPr>
          <w:p>
            <w:pPr>
              <w:widowControl/>
              <w:rPr>
                <w:rFonts w:ascii="Arial" w:hAnsi="Arial" w:cs="Arial"/>
                <w:sz w:val="20"/>
                <w:szCs w:val="20"/>
              </w:rPr>
            </w:pPr>
            <w:r>
              <w:rPr>
                <w:rFonts w:ascii="Arial" w:hAnsi="Arial" w:cs="Arial"/>
                <w:sz w:val="20"/>
                <w:szCs w:val="20"/>
              </w:rPr>
              <w:t xml:space="preserve">model transfer in open format of a </w:t>
            </w:r>
            <w:r>
              <w:rPr>
                <w:rFonts w:ascii="Arial" w:hAnsi="Arial" w:cs="Arial"/>
                <w:i/>
                <w:iCs/>
                <w:sz w:val="20"/>
                <w:szCs w:val="20"/>
              </w:rPr>
              <w:t>known model structure</w:t>
            </w:r>
            <w:r>
              <w:rPr>
                <w:rFonts w:ascii="Arial" w:hAnsi="Arial" w:cs="Arial"/>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pPr>
              <w:rPr>
                <w:rFonts w:ascii="Arial" w:hAnsi="Arial" w:cs="Arial"/>
                <w:sz w:val="20"/>
                <w:szCs w:val="20"/>
              </w:rPr>
            </w:pPr>
            <w:r>
              <w:rPr>
                <w:rFonts w:ascii="Arial" w:hAnsi="Arial" w:cs="Arial"/>
                <w:sz w:val="20"/>
                <w:szCs w:val="20"/>
              </w:rPr>
              <w:t>3GPP Network</w:t>
            </w:r>
          </w:p>
        </w:tc>
        <w:tc>
          <w:tcPr>
            <w:tcW w:w="2974" w:type="dxa"/>
            <w:shd w:val="clear" w:color="auto" w:fill="auto"/>
          </w:tcPr>
          <w:p>
            <w:pPr>
              <w:rPr>
                <w:rFonts w:ascii="Arial" w:hAnsi="Arial" w:cs="Arial"/>
                <w:sz w:val="20"/>
                <w:szCs w:val="20"/>
              </w:rPr>
            </w:pPr>
            <w:r>
              <w:rPr>
                <w:rFonts w:ascii="Arial" w:hAnsi="Arial" w:cs="Arial"/>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pPr>
              <w:rPr>
                <w:rFonts w:ascii="Arial" w:hAnsi="Arial" w:cs="Arial"/>
                <w:b/>
                <w:sz w:val="20"/>
                <w:szCs w:val="20"/>
              </w:rPr>
            </w:pPr>
            <w:r>
              <w:rPr>
                <w:rFonts w:ascii="Arial" w:hAnsi="Arial" w:cs="Arial"/>
                <w:b/>
                <w:sz w:val="20"/>
                <w:szCs w:val="20"/>
              </w:rPr>
              <w:t>z5</w:t>
            </w:r>
          </w:p>
        </w:tc>
        <w:tc>
          <w:tcPr>
            <w:tcW w:w="3831" w:type="dxa"/>
            <w:shd w:val="clear" w:color="auto" w:fill="auto"/>
          </w:tcPr>
          <w:p>
            <w:pPr>
              <w:widowControl/>
              <w:rPr>
                <w:rFonts w:ascii="Arial" w:hAnsi="Arial" w:cs="Arial"/>
                <w:sz w:val="20"/>
                <w:szCs w:val="20"/>
              </w:rPr>
            </w:pPr>
            <w:r>
              <w:rPr>
                <w:rFonts w:ascii="Arial" w:hAnsi="Arial" w:cs="Arial"/>
                <w:sz w:val="20"/>
                <w:szCs w:val="20"/>
              </w:rPr>
              <w:t xml:space="preserve">model transfer in open format of </w:t>
            </w:r>
            <w:r>
              <w:rPr>
                <w:rFonts w:ascii="Arial" w:hAnsi="Arial" w:cs="Arial"/>
                <w:i/>
                <w:iCs/>
                <w:sz w:val="20"/>
                <w:szCs w:val="20"/>
              </w:rPr>
              <w:t>an unknown model structure</w:t>
            </w:r>
            <w:r>
              <w:rPr>
                <w:rFonts w:ascii="Arial" w:hAnsi="Arial" w:cs="Arial"/>
                <w:sz w:val="20"/>
                <w:szCs w:val="20"/>
              </w:rPr>
              <w:t xml:space="preserve"> at UE, i.e., any other model structure not covered in z4, including any model structure that is only partially known.</w:t>
            </w:r>
          </w:p>
        </w:tc>
        <w:tc>
          <w:tcPr>
            <w:tcW w:w="2196" w:type="dxa"/>
            <w:shd w:val="clear" w:color="auto" w:fill="auto"/>
          </w:tcPr>
          <w:p>
            <w:pPr>
              <w:rPr>
                <w:rFonts w:ascii="Arial" w:hAnsi="Arial" w:cs="Arial"/>
                <w:sz w:val="20"/>
                <w:szCs w:val="20"/>
              </w:rPr>
            </w:pPr>
            <w:r>
              <w:rPr>
                <w:rFonts w:ascii="Arial" w:hAnsi="Arial" w:cs="Arial"/>
                <w:sz w:val="20"/>
                <w:szCs w:val="20"/>
              </w:rPr>
              <w:t>3GPP Network</w:t>
            </w:r>
          </w:p>
        </w:tc>
        <w:tc>
          <w:tcPr>
            <w:tcW w:w="2974" w:type="dxa"/>
            <w:shd w:val="clear" w:color="auto" w:fill="auto"/>
          </w:tcPr>
          <w:p>
            <w:pPr>
              <w:rPr>
                <w:rFonts w:ascii="Arial" w:hAnsi="Arial" w:cs="Arial"/>
                <w:sz w:val="20"/>
                <w:szCs w:val="20"/>
              </w:rPr>
            </w:pPr>
            <w:r>
              <w:rPr>
                <w:rFonts w:ascii="Arial" w:hAnsi="Arial" w:cs="Arial"/>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pPr>
              <w:pStyle w:val="37"/>
              <w:rPr>
                <w:sz w:val="20"/>
                <w:szCs w:val="20"/>
              </w:rPr>
            </w:pPr>
            <w:r>
              <w:rPr>
                <w:sz w:val="20"/>
                <w:szCs w:val="20"/>
              </w:rPr>
              <w:t>Note:</w:t>
            </w:r>
            <w:r>
              <w:rPr>
                <w:sz w:val="20"/>
                <w:szCs w:val="20"/>
              </w:rPr>
              <w:tab/>
            </w:r>
            <w:r>
              <w:rPr>
                <w:sz w:val="20"/>
                <w:szCs w:val="20"/>
              </w:rPr>
              <w:t>The definition of various Cases is only for the purpose of facilitating discussion and does not imply applicability, feasibility, entity mapping, architecture, signalling nor any prioritization.</w:t>
            </w:r>
          </w:p>
        </w:tc>
      </w:tr>
    </w:tbl>
    <w:p>
      <w:pPr>
        <w:spacing w:before="120" w:beforeLines="50" w:after="120" w:line="260" w:lineRule="exact"/>
        <w:rPr>
          <w:rFonts w:ascii="Arial" w:hAnsi="Arial" w:cs="Arial"/>
          <w:bCs/>
          <w:sz w:val="20"/>
          <w:szCs w:val="20"/>
        </w:rPr>
      </w:pPr>
      <w:r>
        <w:rPr>
          <w:rFonts w:hint="eastAsia" w:ascii="Arial" w:hAnsi="Arial" w:cs="Arial"/>
          <w:bCs/>
          <w:sz w:val="20"/>
          <w:szCs w:val="20"/>
        </w:rPr>
        <w:t xml:space="preserve">In RAN1#116 and #116bis meeting, RAN1 agreed to deprioritize case z5, z2, and z3 in Rel-19. During RAN1 discussion, majority of companies think case z4 is a feasible solution for model transfer/delivery in R19 where the training location is at NW side.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cs="Arial"/>
                <w:b/>
                <w:sz w:val="20"/>
                <w:szCs w:val="20"/>
                <w:lang w:val="en-GB" w:eastAsia="en-GB"/>
              </w:rPr>
            </w:pPr>
            <w:r>
              <w:rPr>
                <w:rFonts w:ascii="Arial" w:hAnsi="Arial" w:cs="Arial"/>
                <w:b/>
                <w:sz w:val="20"/>
                <w:szCs w:val="20"/>
                <w:lang w:val="en-GB" w:eastAsia="en-GB"/>
              </w:rPr>
              <w:t>RAN1#116 Conclusion:</w:t>
            </w:r>
          </w:p>
          <w:p>
            <w:pPr>
              <w:rPr>
                <w:rFonts w:ascii="Arial" w:hAnsi="Arial" w:cs="Arial"/>
                <w:bCs/>
                <w:sz w:val="20"/>
                <w:szCs w:val="20"/>
                <w:lang w:val="en-GB" w:eastAsia="en-GB"/>
              </w:rPr>
            </w:pPr>
            <w:r>
              <w:rPr>
                <w:rFonts w:ascii="Arial" w:hAnsi="Arial" w:cs="Arial"/>
                <w:bCs/>
                <w:sz w:val="20"/>
                <w:szCs w:val="20"/>
                <w:lang w:val="en-GB" w:eastAsia="en-GB"/>
              </w:rPr>
              <w:t xml:space="preserve">From RAN1 perspective, </w:t>
            </w:r>
            <w:r>
              <w:rPr>
                <w:rFonts w:ascii="Arial" w:hAnsi="Arial" w:eastAsia="等线" w:cs="Arial"/>
                <w:bCs/>
                <w:color w:val="000000"/>
                <w:sz w:val="20"/>
                <w:szCs w:val="20"/>
                <w:lang w:val="en-GB" w:eastAsia="en-GB"/>
              </w:rPr>
              <w:t xml:space="preserve">the model transfer/delivery </w:t>
            </w:r>
            <w:r>
              <w:rPr>
                <w:rFonts w:ascii="Arial" w:hAnsi="Arial" w:eastAsia="等线" w:cs="Arial"/>
                <w:bCs/>
                <w:color w:val="C00000"/>
                <w:sz w:val="20"/>
                <w:szCs w:val="20"/>
                <w:lang w:val="en-GB" w:eastAsia="en-GB"/>
              </w:rPr>
              <w:t>Case z5 is deprioritized</w:t>
            </w:r>
            <w:r>
              <w:rPr>
                <w:rFonts w:ascii="Arial" w:hAnsi="Arial" w:eastAsia="等线" w:cs="Arial"/>
                <w:bCs/>
                <w:color w:val="000000"/>
                <w:sz w:val="20"/>
                <w:szCs w:val="20"/>
                <w:lang w:val="en-GB" w:eastAsia="en-GB"/>
              </w:rPr>
              <w:t xml:space="preserve"> for Rel-19.  </w:t>
            </w:r>
          </w:p>
          <w:p>
            <w:pPr>
              <w:rPr>
                <w:rFonts w:ascii="Arial" w:hAnsi="Arial" w:cs="Arial"/>
                <w:bCs/>
                <w:sz w:val="20"/>
                <w:szCs w:val="20"/>
                <w:lang w:val="en-GB" w:eastAsia="en-GB"/>
              </w:rPr>
            </w:pPr>
          </w:p>
          <w:p>
            <w:pPr>
              <w:rPr>
                <w:rFonts w:ascii="Arial" w:hAnsi="Arial" w:cs="Arial"/>
                <w:b/>
                <w:iCs/>
                <w:sz w:val="20"/>
                <w:szCs w:val="20"/>
                <w:lang w:val="en-GB" w:eastAsia="en-GB"/>
              </w:rPr>
            </w:pPr>
            <w:r>
              <w:rPr>
                <w:rFonts w:ascii="Arial" w:hAnsi="Arial" w:cs="Arial"/>
                <w:b/>
                <w:sz w:val="20"/>
                <w:szCs w:val="20"/>
                <w:lang w:val="en-GB" w:eastAsia="en-GB"/>
              </w:rPr>
              <w:t xml:space="preserve">RAN1#116bis </w:t>
            </w:r>
            <w:r>
              <w:rPr>
                <w:rFonts w:ascii="Arial" w:hAnsi="Arial" w:cs="Arial"/>
                <w:b/>
                <w:iCs/>
                <w:sz w:val="20"/>
                <w:szCs w:val="20"/>
                <w:lang w:val="en-GB" w:eastAsia="en-GB"/>
              </w:rPr>
              <w:t>Conclusion</w:t>
            </w:r>
          </w:p>
          <w:p>
            <w:pPr>
              <w:rPr>
                <w:rFonts w:ascii="Arial" w:hAnsi="Arial" w:cs="Arial"/>
                <w:iCs/>
                <w:sz w:val="20"/>
                <w:szCs w:val="20"/>
                <w:lang w:val="en-GB" w:eastAsia="en-GB"/>
              </w:rPr>
            </w:pPr>
            <w:r>
              <w:rPr>
                <w:rFonts w:ascii="Arial" w:hAnsi="Arial" w:cs="Arial"/>
                <w:iCs/>
                <w:sz w:val="20"/>
                <w:szCs w:val="20"/>
                <w:lang w:val="en-GB" w:eastAsia="en-GB"/>
              </w:rPr>
              <w:t xml:space="preserve">From RAN1 perspective, the model transfer/delivery </w:t>
            </w:r>
            <w:r>
              <w:rPr>
                <w:rFonts w:ascii="Arial" w:hAnsi="Arial" w:cs="Arial"/>
                <w:iCs/>
                <w:color w:val="C00000"/>
                <w:sz w:val="20"/>
                <w:szCs w:val="20"/>
                <w:lang w:val="en-GB" w:eastAsia="en-GB"/>
              </w:rPr>
              <w:t>Case z2 is deprioritized</w:t>
            </w:r>
            <w:r>
              <w:rPr>
                <w:rFonts w:ascii="Arial" w:hAnsi="Arial" w:cs="Arial"/>
                <w:iCs/>
                <w:sz w:val="20"/>
                <w:szCs w:val="20"/>
                <w:lang w:val="en-GB" w:eastAsia="en-GB"/>
              </w:rPr>
              <w:t xml:space="preserve"> at least for UE-sided model in Rel-19 due to the following reasons:</w:t>
            </w:r>
          </w:p>
          <w:p>
            <w:pPr>
              <w:pStyle w:val="23"/>
              <w:numPr>
                <w:ilvl w:val="0"/>
                <w:numId w:val="9"/>
              </w:numPr>
              <w:spacing w:before="120" w:after="120" w:line="300" w:lineRule="auto"/>
              <w:ind w:firstLine="360"/>
              <w:contextualSpacing/>
              <w:rPr>
                <w:rFonts w:ascii="Arial" w:hAnsi="Arial" w:cs="Arial"/>
                <w:iCs/>
                <w:sz w:val="20"/>
                <w:szCs w:val="20"/>
                <w:lang w:val="en-GB" w:eastAsia="en-GB"/>
              </w:rPr>
            </w:pPr>
            <w:r>
              <w:rPr>
                <w:rFonts w:ascii="Arial" w:hAnsi="Arial" w:cs="Arial"/>
                <w:iCs/>
                <w:sz w:val="20"/>
                <w:szCs w:val="20"/>
                <w:lang w:val="en-GB" w:eastAsia="en-GB"/>
              </w:rPr>
              <w:t>Risk of proprietary design disclosure</w:t>
            </w:r>
          </w:p>
          <w:p>
            <w:pPr>
              <w:pStyle w:val="23"/>
              <w:numPr>
                <w:ilvl w:val="0"/>
                <w:numId w:val="9"/>
              </w:numPr>
              <w:spacing w:before="120" w:after="120" w:line="300" w:lineRule="auto"/>
              <w:ind w:firstLine="360"/>
              <w:contextualSpacing/>
              <w:rPr>
                <w:rFonts w:ascii="Arial" w:hAnsi="Arial" w:cs="Arial"/>
                <w:iCs/>
                <w:sz w:val="20"/>
                <w:szCs w:val="20"/>
                <w:lang w:val="en-GB" w:eastAsia="en-GB"/>
              </w:rPr>
            </w:pPr>
            <w:r>
              <w:rPr>
                <w:rFonts w:ascii="Arial" w:hAnsi="Arial" w:cs="Arial"/>
                <w:iCs/>
                <w:sz w:val="20"/>
                <w:szCs w:val="20"/>
                <w:lang w:val="en-GB" w:eastAsia="en-GB"/>
              </w:rPr>
              <w:t xml:space="preserve">Burden of offline cross-vendor collaboration </w:t>
            </w:r>
          </w:p>
          <w:p>
            <w:pPr>
              <w:rPr>
                <w:rFonts w:ascii="Arial" w:hAnsi="Arial" w:cs="Arial"/>
                <w:iCs/>
                <w:sz w:val="20"/>
                <w:szCs w:val="20"/>
                <w:lang w:val="en-GB" w:eastAsia="en-GB"/>
              </w:rPr>
            </w:pPr>
            <w:r>
              <w:rPr>
                <w:rFonts w:ascii="Arial" w:hAnsi="Arial" w:cs="Arial"/>
                <w:iCs/>
                <w:sz w:val="20"/>
                <w:szCs w:val="20"/>
                <w:lang w:val="en-GB" w:eastAsia="en-GB"/>
              </w:rPr>
              <w:t xml:space="preserve">From RAN1 perspective, the model transfer/delivery </w:t>
            </w:r>
            <w:r>
              <w:rPr>
                <w:rFonts w:ascii="Arial" w:hAnsi="Arial" w:cs="Arial"/>
                <w:iCs/>
                <w:color w:val="C00000"/>
                <w:sz w:val="20"/>
                <w:szCs w:val="20"/>
                <w:lang w:val="en-GB" w:eastAsia="en-GB"/>
              </w:rPr>
              <w:t>Case z3 is deprioritized</w:t>
            </w:r>
            <w:r>
              <w:rPr>
                <w:rFonts w:ascii="Arial" w:hAnsi="Arial" w:cs="Arial"/>
                <w:iCs/>
                <w:sz w:val="20"/>
                <w:szCs w:val="20"/>
                <w:lang w:val="en-GB" w:eastAsia="en-GB"/>
              </w:rPr>
              <w:t xml:space="preserve"> for Rel-19 due to the following reasons (compared to Case y):</w:t>
            </w:r>
          </w:p>
          <w:p>
            <w:pPr>
              <w:pStyle w:val="23"/>
              <w:numPr>
                <w:ilvl w:val="0"/>
                <w:numId w:val="9"/>
              </w:numPr>
              <w:spacing w:before="120" w:after="120" w:line="300" w:lineRule="auto"/>
              <w:ind w:firstLine="360"/>
              <w:contextualSpacing/>
              <w:rPr>
                <w:rFonts w:ascii="Arial" w:hAnsi="Arial" w:cs="Arial"/>
                <w:iCs/>
                <w:sz w:val="20"/>
                <w:szCs w:val="20"/>
                <w:lang w:val="en-GB" w:eastAsia="en-GB"/>
              </w:rPr>
            </w:pPr>
            <w:r>
              <w:rPr>
                <w:rFonts w:ascii="Arial" w:hAnsi="Arial" w:cs="Arial"/>
                <w:iCs/>
                <w:sz w:val="20"/>
                <w:szCs w:val="20"/>
                <w:lang w:val="en-GB" w:eastAsia="en-GB"/>
              </w:rPr>
              <w:t>No much benefit compared to Case y</w:t>
            </w:r>
          </w:p>
          <w:p>
            <w:pPr>
              <w:pStyle w:val="23"/>
              <w:numPr>
                <w:ilvl w:val="0"/>
                <w:numId w:val="9"/>
              </w:numPr>
              <w:spacing w:before="120" w:after="120" w:line="300" w:lineRule="auto"/>
              <w:ind w:firstLine="360"/>
              <w:contextualSpacing/>
              <w:rPr>
                <w:rFonts w:ascii="Arial" w:hAnsi="Arial" w:cs="Arial"/>
                <w:iCs/>
                <w:sz w:val="20"/>
                <w:szCs w:val="20"/>
                <w:lang w:val="en-GB" w:eastAsia="en-GB"/>
              </w:rPr>
            </w:pPr>
            <w:r>
              <w:rPr>
                <w:rFonts w:ascii="Arial" w:hAnsi="Arial" w:cs="Arial"/>
                <w:iCs/>
                <w:sz w:val="20"/>
                <w:szCs w:val="20"/>
                <w:lang w:val="en-GB" w:eastAsia="en-GB"/>
              </w:rPr>
              <w:t>Risk of proprietary design disclosure</w:t>
            </w:r>
          </w:p>
          <w:p>
            <w:pPr>
              <w:pStyle w:val="23"/>
              <w:numPr>
                <w:ilvl w:val="0"/>
                <w:numId w:val="9"/>
              </w:numPr>
              <w:spacing w:before="120" w:after="120" w:line="300" w:lineRule="auto"/>
              <w:ind w:firstLine="360"/>
              <w:contextualSpacing/>
              <w:rPr>
                <w:rFonts w:ascii="Arial" w:hAnsi="Arial" w:cs="Arial"/>
                <w:iCs/>
                <w:sz w:val="20"/>
                <w:szCs w:val="20"/>
                <w:lang w:val="en-GB" w:eastAsia="en-GB"/>
              </w:rPr>
            </w:pPr>
            <w:r>
              <w:rPr>
                <w:rFonts w:ascii="Arial" w:hAnsi="Arial" w:cs="Arial"/>
                <w:iCs/>
                <w:sz w:val="20"/>
                <w:szCs w:val="20"/>
                <w:lang w:val="en-GB" w:eastAsia="en-GB"/>
              </w:rPr>
              <w:t>Large burden of offline cross-vendor collaboration</w:t>
            </w:r>
          </w:p>
          <w:p>
            <w:pPr>
              <w:pStyle w:val="23"/>
              <w:numPr>
                <w:ilvl w:val="0"/>
                <w:numId w:val="9"/>
              </w:numPr>
              <w:spacing w:before="120" w:after="120" w:line="300" w:lineRule="auto"/>
              <w:ind w:firstLine="360"/>
              <w:contextualSpacing/>
              <w:rPr>
                <w:rFonts w:ascii="Arial" w:hAnsi="Arial" w:cs="Arial"/>
                <w:bCs/>
                <w:sz w:val="20"/>
                <w:szCs w:val="20"/>
                <w:lang w:val="en-GB" w:eastAsia="en-GB"/>
              </w:rPr>
            </w:pPr>
            <w:r>
              <w:rPr>
                <w:rFonts w:ascii="Arial" w:hAnsi="Arial" w:cs="Arial"/>
                <w:iCs/>
                <w:sz w:val="20"/>
                <w:szCs w:val="20"/>
                <w:lang w:val="en-GB" w:eastAsia="en-GB"/>
              </w:rPr>
              <w:t>Additional burden on model storage within in 3GPP network</w:t>
            </w:r>
          </w:p>
        </w:tc>
      </w:tr>
    </w:tbl>
    <w:p>
      <w:pPr>
        <w:spacing w:before="120" w:beforeLines="50" w:after="120" w:line="260" w:lineRule="exact"/>
        <w:rPr>
          <w:rFonts w:ascii="Arial" w:hAnsi="Arial" w:cs="Arial"/>
          <w:b/>
          <w:sz w:val="20"/>
          <w:szCs w:val="20"/>
        </w:rPr>
      </w:pPr>
      <w:r>
        <w:rPr>
          <w:rFonts w:hint="eastAsia" w:ascii="Arial" w:hAnsi="Arial" w:cs="Arial"/>
          <w:b/>
          <w:sz w:val="20"/>
          <w:szCs w:val="20"/>
        </w:rPr>
        <w:t>Observation 2: RAN1 agreed that the UE-sided model can be trained at UE-side, NW-side and neutral site.</w:t>
      </w:r>
    </w:p>
    <w:p>
      <w:pPr>
        <w:spacing w:before="120" w:beforeLines="50" w:after="120" w:line="260" w:lineRule="exact"/>
        <w:rPr>
          <w:rFonts w:ascii="Arial" w:hAnsi="Arial" w:cs="Arial"/>
          <w:bCs/>
          <w:sz w:val="20"/>
          <w:szCs w:val="20"/>
        </w:rPr>
      </w:pPr>
      <w:r>
        <w:rPr>
          <w:rFonts w:hint="eastAsia" w:ascii="Arial" w:hAnsi="Arial" w:cs="Arial"/>
          <w:bCs/>
          <w:sz w:val="20"/>
          <w:szCs w:val="20"/>
        </w:rPr>
        <w:t>Therefore, based on RAN1</w:t>
      </w:r>
      <w:r>
        <w:rPr>
          <w:rFonts w:ascii="Arial" w:hAnsi="Arial" w:cs="Arial"/>
          <w:bCs/>
          <w:sz w:val="20"/>
          <w:szCs w:val="20"/>
        </w:rPr>
        <w:t>’</w:t>
      </w:r>
      <w:r>
        <w:rPr>
          <w:rFonts w:hint="eastAsia" w:ascii="Arial" w:hAnsi="Arial" w:cs="Arial"/>
          <w:bCs/>
          <w:sz w:val="20"/>
          <w:szCs w:val="20"/>
        </w:rPr>
        <w:t>s progress, the UE-sided model can also be trained at NW side. For beam management use case, we think at least gNB and OAM can train the UE-sided model, and for positioning use case, at least LMF can train the UE-sided model.</w:t>
      </w:r>
    </w:p>
    <w:p>
      <w:pPr>
        <w:spacing w:before="120" w:beforeLines="50" w:after="120" w:line="260" w:lineRule="exact"/>
        <w:rPr>
          <w:rFonts w:ascii="Arial" w:hAnsi="Arial" w:cs="Arial"/>
          <w:b/>
          <w:sz w:val="20"/>
          <w:szCs w:val="20"/>
        </w:rPr>
      </w:pPr>
      <w:r>
        <w:rPr>
          <w:rFonts w:hint="eastAsia" w:ascii="Arial" w:hAnsi="Arial" w:cs="Arial"/>
          <w:b/>
          <w:sz w:val="20"/>
          <w:szCs w:val="20"/>
        </w:rPr>
        <w:t xml:space="preserve">Proposal 3: RAN2 to align with RAN1 agreement that, </w:t>
      </w:r>
      <w:r>
        <w:rPr>
          <w:rFonts w:hint="eastAsia" w:ascii="Arial" w:hAnsi="Arial" w:cs="Arial"/>
          <w:b/>
          <w:sz w:val="20"/>
          <w:szCs w:val="20"/>
          <w:lang w:val="en-US" w:eastAsia="zh-CN"/>
        </w:rPr>
        <w:t>t</w:t>
      </w:r>
      <w:r>
        <w:rPr>
          <w:rFonts w:hint="eastAsia" w:ascii="Arial" w:hAnsi="Arial" w:cs="Arial"/>
          <w:b/>
          <w:sz w:val="20"/>
          <w:szCs w:val="20"/>
        </w:rPr>
        <w:t>he UE-sided model can also be trained at NW side, e.g. at least gNB and OAM for UE-sided model training for beam management use case, at least LMF for UE-sided model training for positioning use case.</w:t>
      </w:r>
    </w:p>
    <w:p>
      <w:pPr>
        <w:spacing w:before="120" w:beforeLines="50" w:after="120" w:line="260" w:lineRule="exact"/>
        <w:rPr>
          <w:rFonts w:ascii="Arial" w:hAnsi="Arial" w:cs="Arial"/>
          <w:bCs/>
          <w:sz w:val="20"/>
          <w:szCs w:val="20"/>
        </w:rPr>
      </w:pPr>
    </w:p>
    <w:p>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data collection for UE-sided model training</w:t>
      </w:r>
      <w:r>
        <w:rPr>
          <w:rFonts w:ascii="Arial" w:hAnsi="Arial" w:eastAsia="宋体" w:cs="Arial"/>
          <w:kern w:val="0"/>
          <w:sz w:val="20"/>
          <w:szCs w:val="20"/>
          <w:lang w:val="en-GB" w:eastAsia="en-US"/>
        </w:rPr>
        <w:t>.</w:t>
      </w:r>
    </w:p>
    <w:p>
      <w:pPr>
        <w:spacing w:before="120" w:beforeLines="50" w:after="120" w:line="260" w:lineRule="exact"/>
        <w:rPr>
          <w:rFonts w:ascii="Arial" w:hAnsi="Arial" w:cs="Arial"/>
          <w:b/>
          <w:i/>
          <w:iCs/>
          <w:sz w:val="20"/>
          <w:szCs w:val="20"/>
          <w:u w:val="single"/>
        </w:rPr>
      </w:pPr>
      <w:r>
        <w:rPr>
          <w:rFonts w:hint="eastAsia" w:ascii="Arial" w:hAnsi="Arial" w:cs="Arial"/>
          <w:b/>
          <w:i/>
          <w:iCs/>
          <w:sz w:val="20"/>
          <w:szCs w:val="20"/>
          <w:u w:val="single"/>
        </w:rPr>
        <w:t>Requirements on data collection for UE-sided model training</w:t>
      </w:r>
    </w:p>
    <w:p>
      <w:pPr>
        <w:spacing w:before="120" w:beforeLines="50" w:after="120" w:line="260" w:lineRule="exact"/>
        <w:rPr>
          <w:rFonts w:ascii="Arial" w:hAnsi="Arial" w:cs="Arial"/>
          <w:b/>
          <w:sz w:val="20"/>
          <w:szCs w:val="20"/>
        </w:rPr>
      </w:pPr>
      <w:r>
        <w:rPr>
          <w:rFonts w:hint="eastAsia" w:ascii="Arial" w:hAnsi="Arial" w:cs="Arial"/>
          <w:b/>
          <w:sz w:val="20"/>
          <w:szCs w:val="20"/>
        </w:rPr>
        <w:t>Proposal 1: For data collection for UE-sided model training in OTT server, at least the following requirements should be satisfied:</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he data collection procedure should be terminated within MNO</w:t>
      </w:r>
      <w:r>
        <w:rPr>
          <w:rFonts w:hint="eastAsia" w:ascii="Arial" w:hAnsi="Arial" w:cs="Arial"/>
          <w:b/>
          <w:sz w:val="20"/>
          <w:szCs w:val="20"/>
        </w:rPr>
        <w:t xml:space="preserve"> and controlled by MNO</w:t>
      </w:r>
      <w:r>
        <w:rPr>
          <w:rFonts w:ascii="Arial" w:hAnsi="Arial" w:cs="Arial"/>
          <w:b/>
          <w:sz w:val="20"/>
          <w:szCs w:val="20"/>
        </w:rPr>
        <w:t>, i.e., data collection entity is within MNO</w:t>
      </w:r>
      <w:r>
        <w:rPr>
          <w:rFonts w:hint="eastAsia" w:ascii="Arial" w:hAnsi="Arial" w:cs="Arial"/>
          <w:b/>
          <w:sz w:val="20"/>
          <w:szCs w:val="20"/>
        </w:rPr>
        <w:t xml:space="preserve"> trusted domain.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 xml:space="preserve">he collected data should be interpretable by operator, i.e. </w:t>
      </w:r>
      <w:r>
        <w:rPr>
          <w:rFonts w:hint="eastAsia" w:ascii="Arial" w:hAnsi="Arial" w:cs="Arial"/>
          <w:b/>
          <w:sz w:val="20"/>
          <w:szCs w:val="20"/>
        </w:rPr>
        <w:t>the collected data should be comprehend</w:t>
      </w:r>
      <w:r>
        <w:rPr>
          <w:rFonts w:hint="eastAsia" w:ascii="Arial" w:hAnsi="Arial" w:cs="Arial"/>
          <w:b/>
          <w:sz w:val="20"/>
          <w:szCs w:val="20"/>
          <w:lang w:val="en-US" w:eastAsia="zh-CN"/>
        </w:rPr>
        <w:t>ed</w:t>
      </w:r>
      <w:r>
        <w:rPr>
          <w:rFonts w:hint="eastAsia" w:ascii="Arial" w:hAnsi="Arial" w:cs="Arial"/>
          <w:b/>
          <w:sz w:val="20"/>
          <w:szCs w:val="20"/>
        </w:rPr>
        <w:t xml:space="preserve"> by operator and the </w:t>
      </w:r>
      <w:r>
        <w:rPr>
          <w:rFonts w:ascii="Arial" w:hAnsi="Arial" w:cs="Arial"/>
          <w:b/>
          <w:sz w:val="20"/>
          <w:szCs w:val="20"/>
        </w:rPr>
        <w:t>container transparent to 3GPP is not acceptable</w:t>
      </w:r>
      <w:r>
        <w:rPr>
          <w:rFonts w:hint="eastAsia" w:ascii="Arial" w:hAnsi="Arial" w:cs="Arial"/>
          <w:b/>
          <w:sz w:val="20"/>
          <w:szCs w:val="20"/>
        </w:rPr>
        <w:t xml:space="preserve">.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 xml:space="preserve">The collected data needs to be anonymized before transferred to the third entities (with an SLA with the MNO) outside the MNO network, i.e. MNO has the ability to modify the collected data. </w:t>
      </w:r>
    </w:p>
    <w:p>
      <w:pPr>
        <w:spacing w:before="120" w:beforeLines="50" w:after="120" w:line="260" w:lineRule="exact"/>
        <w:rPr>
          <w:rFonts w:ascii="Arial" w:hAnsi="Arial" w:cs="Arial"/>
          <w:b/>
          <w:i/>
          <w:iCs/>
          <w:sz w:val="20"/>
          <w:szCs w:val="20"/>
          <w:u w:val="single"/>
        </w:rPr>
      </w:pPr>
      <w:r>
        <w:rPr>
          <w:rFonts w:hint="eastAsia" w:ascii="Arial" w:hAnsi="Arial" w:cs="Arial"/>
          <w:b/>
          <w:i/>
          <w:iCs/>
          <w:sz w:val="20"/>
          <w:szCs w:val="20"/>
          <w:u w:val="single"/>
        </w:rPr>
        <w:t>Understanding on potential solutions</w:t>
      </w:r>
    </w:p>
    <w:p>
      <w:pPr>
        <w:spacing w:before="120" w:beforeLines="50" w:after="120" w:line="260" w:lineRule="exact"/>
        <w:rPr>
          <w:rFonts w:ascii="Arial" w:hAnsi="Arial" w:cs="Arial"/>
          <w:b/>
          <w:sz w:val="20"/>
          <w:szCs w:val="20"/>
        </w:rPr>
      </w:pPr>
      <w:r>
        <w:rPr>
          <w:rFonts w:hint="eastAsia" w:ascii="Arial" w:hAnsi="Arial" w:cs="Arial"/>
          <w:b/>
          <w:sz w:val="20"/>
          <w:szCs w:val="20"/>
        </w:rPr>
        <w:t>Observation 1: For solution 1b), we understand that if the server for data collection is outside of MNO, solution 1b) is the same as solution 1a), and if the server is inside of MNO, solution 1b) can be reflected to solution 2 (CN) and solution 3 (OAM).</w:t>
      </w:r>
    </w:p>
    <w:p>
      <w:pPr>
        <w:spacing w:before="120" w:beforeLines="50" w:after="120" w:line="260" w:lineRule="exact"/>
        <w:rPr>
          <w:rFonts w:ascii="Arial" w:hAnsi="Arial" w:cs="Arial"/>
          <w:b/>
          <w:sz w:val="20"/>
          <w:szCs w:val="20"/>
        </w:rPr>
      </w:pPr>
      <w:r>
        <w:rPr>
          <w:rFonts w:hint="eastAsia" w:ascii="Arial" w:hAnsi="Arial" w:cs="Arial"/>
          <w:b/>
          <w:sz w:val="20"/>
          <w:szCs w:val="20"/>
        </w:rPr>
        <w:t>Proposal 2: It is suggest</w:t>
      </w:r>
      <w:r>
        <w:rPr>
          <w:rFonts w:hint="eastAsia" w:ascii="Arial" w:hAnsi="Arial" w:cs="Arial"/>
          <w:b/>
          <w:sz w:val="20"/>
          <w:szCs w:val="20"/>
          <w:lang w:val="en-US" w:eastAsia="zh-CN"/>
        </w:rPr>
        <w:t>ed</w:t>
      </w:r>
      <w:r>
        <w:rPr>
          <w:rFonts w:hint="eastAsia" w:ascii="Arial" w:hAnsi="Arial" w:cs="Arial"/>
          <w:b/>
          <w:sz w:val="20"/>
          <w:szCs w:val="20"/>
        </w:rPr>
        <w:t xml:space="preserve"> to remove solution 1b) for further discussion.</w:t>
      </w:r>
    </w:p>
    <w:p>
      <w:pPr>
        <w:spacing w:before="120" w:beforeLines="50" w:after="120" w:line="260" w:lineRule="exact"/>
        <w:rPr>
          <w:rFonts w:ascii="Arial" w:hAnsi="Arial" w:cs="Arial"/>
          <w:b/>
          <w:i/>
          <w:iCs/>
          <w:sz w:val="20"/>
          <w:szCs w:val="20"/>
          <w:u w:val="single"/>
        </w:rPr>
      </w:pPr>
      <w:r>
        <w:rPr>
          <w:rFonts w:hint="eastAsia" w:ascii="Arial" w:hAnsi="Arial" w:cs="Arial"/>
          <w:b/>
          <w:i/>
          <w:iCs/>
          <w:sz w:val="20"/>
          <w:szCs w:val="20"/>
          <w:u w:val="single"/>
        </w:rPr>
        <w:t>UE-sided model training location</w:t>
      </w:r>
    </w:p>
    <w:p>
      <w:pPr>
        <w:spacing w:before="120" w:beforeLines="50" w:after="120" w:line="260" w:lineRule="exact"/>
        <w:rPr>
          <w:rFonts w:ascii="Arial" w:hAnsi="Arial" w:cs="Arial"/>
          <w:b/>
          <w:sz w:val="20"/>
          <w:szCs w:val="20"/>
        </w:rPr>
      </w:pPr>
      <w:r>
        <w:rPr>
          <w:rFonts w:hint="eastAsia" w:ascii="Arial" w:hAnsi="Arial" w:cs="Arial"/>
          <w:b/>
          <w:sz w:val="20"/>
          <w:szCs w:val="20"/>
        </w:rPr>
        <w:t>Observation 2: RAN1 agreed that the UE-sided model can be trained at UE-side, NW-side and neutral site.</w:t>
      </w:r>
    </w:p>
    <w:p>
      <w:pPr>
        <w:spacing w:before="120" w:beforeLines="50" w:after="120" w:line="260" w:lineRule="exact"/>
        <w:rPr>
          <w:rFonts w:ascii="Arial" w:hAnsi="Arial" w:cs="Arial"/>
          <w:b/>
          <w:sz w:val="20"/>
          <w:szCs w:val="20"/>
        </w:rPr>
      </w:pPr>
      <w:r>
        <w:rPr>
          <w:rFonts w:hint="eastAsia" w:ascii="Arial" w:hAnsi="Arial" w:cs="Arial"/>
          <w:b/>
          <w:sz w:val="20"/>
          <w:szCs w:val="20"/>
        </w:rPr>
        <w:t xml:space="preserve">Proposal 3: RAN2 to align with RAN1 agreement that, </w:t>
      </w:r>
      <w:r>
        <w:rPr>
          <w:rFonts w:hint="eastAsia" w:ascii="Arial" w:hAnsi="Arial" w:cs="Arial"/>
          <w:b/>
          <w:sz w:val="20"/>
          <w:szCs w:val="20"/>
          <w:lang w:val="en-US" w:eastAsia="zh-CN"/>
        </w:rPr>
        <w:t>t</w:t>
      </w:r>
      <w:r>
        <w:rPr>
          <w:rFonts w:hint="eastAsia" w:ascii="Arial" w:hAnsi="Arial" w:cs="Arial"/>
          <w:b/>
          <w:sz w:val="20"/>
          <w:szCs w:val="20"/>
        </w:rPr>
        <w:t>he UE-sided model can also be trained at NW side, e.g. at least gNB and OAM for UE-sided model training for beam management use case, at least LMF for UE-sided model training for positioning use case.</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Draft_R2_125bis_Meeting_Report_v2</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 xml:space="preserve">R2-240XXXX </w:t>
      </w:r>
      <w:r>
        <w:rPr>
          <w:rFonts w:hint="eastAsia" w:ascii="Arial" w:hAnsi="Arial" w:eastAsia="宋体" w:cs="Arial"/>
          <w:kern w:val="0"/>
          <w:sz w:val="20"/>
          <w:szCs w:val="20"/>
          <w:lang w:val="en-GB"/>
        </w:rPr>
        <w:t>Report of [POST125bis][020][AI/ML PHY] UE side data collection</w:t>
      </w:r>
      <w:r>
        <w:rPr>
          <w:rFonts w:hint="eastAsia" w:ascii="Arial" w:hAnsi="Arial" w:eastAsia="宋体" w:cs="Arial"/>
          <w:kern w:val="0"/>
          <w:sz w:val="20"/>
          <w:szCs w:val="20"/>
        </w:rPr>
        <w:t xml:space="preserve"> (Mediatek)</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6A357A9"/>
    <w:multiLevelType w:val="multilevel"/>
    <w:tmpl w:val="06A357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4D66ADD5"/>
    <w:multiLevelType w:val="singleLevel"/>
    <w:tmpl w:val="4D66ADD5"/>
    <w:lvl w:ilvl="0" w:tentative="0">
      <w:start w:val="1"/>
      <w:numFmt w:val="bullet"/>
      <w:lvlText w:val=""/>
      <w:lvlJc w:val="left"/>
      <w:pPr>
        <w:tabs>
          <w:tab w:val="left" w:pos="420"/>
        </w:tabs>
        <w:ind w:left="840" w:hanging="420"/>
      </w:pPr>
      <w:rPr>
        <w:rFonts w:hint="default" w:ascii="Wingdings" w:hAnsi="Wingdings"/>
        <w:sz w:val="16"/>
      </w:rPr>
    </w:lvl>
  </w:abstractNum>
  <w:abstractNum w:abstractNumId="6">
    <w:nsid w:val="50BED944"/>
    <w:multiLevelType w:val="singleLevel"/>
    <w:tmpl w:val="50BED944"/>
    <w:lvl w:ilvl="0" w:tentative="0">
      <w:start w:val="1"/>
      <w:numFmt w:val="decimal"/>
      <w:lvlText w:val="%1"/>
      <w:lvlJc w:val="left"/>
    </w:lvl>
  </w:abstractNum>
  <w:abstractNum w:abstractNumId="7">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9"/>
  </w:num>
  <w:num w:numId="4">
    <w:abstractNumId w:val="8"/>
  </w:num>
  <w:num w:numId="5">
    <w:abstractNumId w:val="6"/>
  </w:num>
  <w:num w:numId="6">
    <w:abstractNumId w:val="7"/>
  </w:num>
  <w:num w:numId="7">
    <w:abstractNumId w:val="2"/>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0AAB"/>
    <w:rsid w:val="00DA12B1"/>
    <w:rsid w:val="00DA6656"/>
    <w:rsid w:val="00DD4F70"/>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6E658B"/>
    <w:rsid w:val="01840FB9"/>
    <w:rsid w:val="01A574CF"/>
    <w:rsid w:val="01A60C1B"/>
    <w:rsid w:val="01E966BF"/>
    <w:rsid w:val="029B08C6"/>
    <w:rsid w:val="02A424C3"/>
    <w:rsid w:val="02B71025"/>
    <w:rsid w:val="02FA6D08"/>
    <w:rsid w:val="0300491B"/>
    <w:rsid w:val="030E32B0"/>
    <w:rsid w:val="03190295"/>
    <w:rsid w:val="038A1F16"/>
    <w:rsid w:val="041A101A"/>
    <w:rsid w:val="0457410F"/>
    <w:rsid w:val="04A12BB9"/>
    <w:rsid w:val="04A37BF0"/>
    <w:rsid w:val="04F25DBA"/>
    <w:rsid w:val="04FD5053"/>
    <w:rsid w:val="053F6F70"/>
    <w:rsid w:val="054134AD"/>
    <w:rsid w:val="0571089C"/>
    <w:rsid w:val="058844D8"/>
    <w:rsid w:val="05AD7C3D"/>
    <w:rsid w:val="05B81468"/>
    <w:rsid w:val="05B92B80"/>
    <w:rsid w:val="05CC288F"/>
    <w:rsid w:val="05FB3716"/>
    <w:rsid w:val="061355E6"/>
    <w:rsid w:val="069766D8"/>
    <w:rsid w:val="06EA3869"/>
    <w:rsid w:val="06EB297F"/>
    <w:rsid w:val="06F44776"/>
    <w:rsid w:val="071830B3"/>
    <w:rsid w:val="07232B13"/>
    <w:rsid w:val="072E12A5"/>
    <w:rsid w:val="072E4FA9"/>
    <w:rsid w:val="073F4A62"/>
    <w:rsid w:val="07554650"/>
    <w:rsid w:val="079F7BD5"/>
    <w:rsid w:val="07CC0B7F"/>
    <w:rsid w:val="080B0E60"/>
    <w:rsid w:val="08241B14"/>
    <w:rsid w:val="08346E32"/>
    <w:rsid w:val="084F3982"/>
    <w:rsid w:val="08BD2F14"/>
    <w:rsid w:val="08C95DA2"/>
    <w:rsid w:val="08D80E0C"/>
    <w:rsid w:val="09085B92"/>
    <w:rsid w:val="093223D0"/>
    <w:rsid w:val="09414F75"/>
    <w:rsid w:val="094470AB"/>
    <w:rsid w:val="0953202D"/>
    <w:rsid w:val="095A6DFD"/>
    <w:rsid w:val="09926330"/>
    <w:rsid w:val="09AD7F7C"/>
    <w:rsid w:val="09B92009"/>
    <w:rsid w:val="09C411E9"/>
    <w:rsid w:val="09D63199"/>
    <w:rsid w:val="09F124DC"/>
    <w:rsid w:val="09F8719E"/>
    <w:rsid w:val="0A0C359D"/>
    <w:rsid w:val="0A103B20"/>
    <w:rsid w:val="0A1469F1"/>
    <w:rsid w:val="0A173D8A"/>
    <w:rsid w:val="0AAC7074"/>
    <w:rsid w:val="0AB622D1"/>
    <w:rsid w:val="0ADE2342"/>
    <w:rsid w:val="0AE21792"/>
    <w:rsid w:val="0AF33383"/>
    <w:rsid w:val="0B054A96"/>
    <w:rsid w:val="0B11078A"/>
    <w:rsid w:val="0B7E67EB"/>
    <w:rsid w:val="0B96175E"/>
    <w:rsid w:val="0BB81E48"/>
    <w:rsid w:val="0BF550E1"/>
    <w:rsid w:val="0C202296"/>
    <w:rsid w:val="0C415301"/>
    <w:rsid w:val="0C4853AF"/>
    <w:rsid w:val="0C5466CF"/>
    <w:rsid w:val="0C6C1EE0"/>
    <w:rsid w:val="0C7F3E15"/>
    <w:rsid w:val="0CC05689"/>
    <w:rsid w:val="0CD5224C"/>
    <w:rsid w:val="0CE47224"/>
    <w:rsid w:val="0D193EF2"/>
    <w:rsid w:val="0D362C45"/>
    <w:rsid w:val="0D677C89"/>
    <w:rsid w:val="0D711EBE"/>
    <w:rsid w:val="0D771EA7"/>
    <w:rsid w:val="0DA728AC"/>
    <w:rsid w:val="0DAD175B"/>
    <w:rsid w:val="0DE14E46"/>
    <w:rsid w:val="0E3D4FDF"/>
    <w:rsid w:val="0E4A09D7"/>
    <w:rsid w:val="0E56201A"/>
    <w:rsid w:val="0E6E3C34"/>
    <w:rsid w:val="0EAF327B"/>
    <w:rsid w:val="0F1D748A"/>
    <w:rsid w:val="0F4E079B"/>
    <w:rsid w:val="0F782620"/>
    <w:rsid w:val="0F8A7784"/>
    <w:rsid w:val="0FC803F4"/>
    <w:rsid w:val="10090A65"/>
    <w:rsid w:val="108B22CD"/>
    <w:rsid w:val="10AC6F3F"/>
    <w:rsid w:val="10C31C47"/>
    <w:rsid w:val="10C64AE7"/>
    <w:rsid w:val="10F04644"/>
    <w:rsid w:val="110171B2"/>
    <w:rsid w:val="111F30A5"/>
    <w:rsid w:val="11900A86"/>
    <w:rsid w:val="119B1CE5"/>
    <w:rsid w:val="11D44799"/>
    <w:rsid w:val="11E4251C"/>
    <w:rsid w:val="1236016D"/>
    <w:rsid w:val="123900DB"/>
    <w:rsid w:val="123B6254"/>
    <w:rsid w:val="12934DEA"/>
    <w:rsid w:val="12A73823"/>
    <w:rsid w:val="12B04029"/>
    <w:rsid w:val="12BD5E5F"/>
    <w:rsid w:val="12DA4242"/>
    <w:rsid w:val="130A48C3"/>
    <w:rsid w:val="132303DD"/>
    <w:rsid w:val="1331496D"/>
    <w:rsid w:val="13392934"/>
    <w:rsid w:val="13583AE1"/>
    <w:rsid w:val="1358580E"/>
    <w:rsid w:val="136A73BB"/>
    <w:rsid w:val="139327D8"/>
    <w:rsid w:val="13A46671"/>
    <w:rsid w:val="13D36FA4"/>
    <w:rsid w:val="14256000"/>
    <w:rsid w:val="1466786F"/>
    <w:rsid w:val="14A668A4"/>
    <w:rsid w:val="14A9029F"/>
    <w:rsid w:val="14B83431"/>
    <w:rsid w:val="14E836E8"/>
    <w:rsid w:val="14F142C3"/>
    <w:rsid w:val="150B6FBF"/>
    <w:rsid w:val="152B1104"/>
    <w:rsid w:val="154A66B0"/>
    <w:rsid w:val="159C7EDD"/>
    <w:rsid w:val="15BE553B"/>
    <w:rsid w:val="15E03E14"/>
    <w:rsid w:val="15E9482E"/>
    <w:rsid w:val="161147C5"/>
    <w:rsid w:val="16327956"/>
    <w:rsid w:val="166A7A3B"/>
    <w:rsid w:val="16725680"/>
    <w:rsid w:val="168B0BBD"/>
    <w:rsid w:val="16A3322F"/>
    <w:rsid w:val="16C120B7"/>
    <w:rsid w:val="16CD3708"/>
    <w:rsid w:val="16D51B5B"/>
    <w:rsid w:val="17916AE6"/>
    <w:rsid w:val="17AE49E6"/>
    <w:rsid w:val="17CD5A7B"/>
    <w:rsid w:val="18035F6A"/>
    <w:rsid w:val="185C58E1"/>
    <w:rsid w:val="186366A3"/>
    <w:rsid w:val="187A66B9"/>
    <w:rsid w:val="1881324F"/>
    <w:rsid w:val="18A246AF"/>
    <w:rsid w:val="18F80417"/>
    <w:rsid w:val="18FE1274"/>
    <w:rsid w:val="192F165F"/>
    <w:rsid w:val="195E3B99"/>
    <w:rsid w:val="196E4FB3"/>
    <w:rsid w:val="1A1C0B7B"/>
    <w:rsid w:val="1A40430B"/>
    <w:rsid w:val="1A855FB2"/>
    <w:rsid w:val="1A9A126F"/>
    <w:rsid w:val="1AA4601E"/>
    <w:rsid w:val="1ABF7C53"/>
    <w:rsid w:val="1ADE6206"/>
    <w:rsid w:val="1AE7452F"/>
    <w:rsid w:val="1AF714FA"/>
    <w:rsid w:val="1B073464"/>
    <w:rsid w:val="1B5E2B2B"/>
    <w:rsid w:val="1BB22919"/>
    <w:rsid w:val="1C263D41"/>
    <w:rsid w:val="1C6673DB"/>
    <w:rsid w:val="1C6A1BB2"/>
    <w:rsid w:val="1C726F5B"/>
    <w:rsid w:val="1CC529AF"/>
    <w:rsid w:val="1CC914E2"/>
    <w:rsid w:val="1D031FA5"/>
    <w:rsid w:val="1D700D25"/>
    <w:rsid w:val="1DA1677A"/>
    <w:rsid w:val="1DE55E1B"/>
    <w:rsid w:val="1DEA2636"/>
    <w:rsid w:val="1E015BFF"/>
    <w:rsid w:val="1E261FEC"/>
    <w:rsid w:val="1E5D014C"/>
    <w:rsid w:val="1E625159"/>
    <w:rsid w:val="1E6C052F"/>
    <w:rsid w:val="1EB31B66"/>
    <w:rsid w:val="1EB529F8"/>
    <w:rsid w:val="1EF17AB3"/>
    <w:rsid w:val="1F1F4D17"/>
    <w:rsid w:val="1FE63CE8"/>
    <w:rsid w:val="20254C14"/>
    <w:rsid w:val="205E77A8"/>
    <w:rsid w:val="205E7BE3"/>
    <w:rsid w:val="208A18F1"/>
    <w:rsid w:val="208D63E6"/>
    <w:rsid w:val="20A506BA"/>
    <w:rsid w:val="20F63843"/>
    <w:rsid w:val="20FE18B0"/>
    <w:rsid w:val="21513A3C"/>
    <w:rsid w:val="215A766D"/>
    <w:rsid w:val="21667FDB"/>
    <w:rsid w:val="219C1508"/>
    <w:rsid w:val="21FA5606"/>
    <w:rsid w:val="220A4513"/>
    <w:rsid w:val="226E729F"/>
    <w:rsid w:val="22B32E1B"/>
    <w:rsid w:val="22CD6AE0"/>
    <w:rsid w:val="23435C66"/>
    <w:rsid w:val="236906A5"/>
    <w:rsid w:val="2375481A"/>
    <w:rsid w:val="23822B30"/>
    <w:rsid w:val="23B828A0"/>
    <w:rsid w:val="23EE120B"/>
    <w:rsid w:val="2403705B"/>
    <w:rsid w:val="24110B80"/>
    <w:rsid w:val="249D5D77"/>
    <w:rsid w:val="24B445FB"/>
    <w:rsid w:val="24C74F14"/>
    <w:rsid w:val="24D708E2"/>
    <w:rsid w:val="24FB6730"/>
    <w:rsid w:val="251B6F7E"/>
    <w:rsid w:val="252515BC"/>
    <w:rsid w:val="25F5013E"/>
    <w:rsid w:val="262A1C6D"/>
    <w:rsid w:val="262F627F"/>
    <w:rsid w:val="26315BFD"/>
    <w:rsid w:val="26537397"/>
    <w:rsid w:val="26590269"/>
    <w:rsid w:val="2660154C"/>
    <w:rsid w:val="269A24DC"/>
    <w:rsid w:val="26A276B5"/>
    <w:rsid w:val="26BA68C7"/>
    <w:rsid w:val="26BB1824"/>
    <w:rsid w:val="2725126B"/>
    <w:rsid w:val="274C2D2B"/>
    <w:rsid w:val="2796594E"/>
    <w:rsid w:val="27BC024E"/>
    <w:rsid w:val="27BE3E87"/>
    <w:rsid w:val="27C17045"/>
    <w:rsid w:val="27C35275"/>
    <w:rsid w:val="283167B4"/>
    <w:rsid w:val="285078A7"/>
    <w:rsid w:val="28682A73"/>
    <w:rsid w:val="289D577F"/>
    <w:rsid w:val="28E404D9"/>
    <w:rsid w:val="28F4407D"/>
    <w:rsid w:val="291138C7"/>
    <w:rsid w:val="29120E51"/>
    <w:rsid w:val="29733D9F"/>
    <w:rsid w:val="29A61468"/>
    <w:rsid w:val="29BE37C1"/>
    <w:rsid w:val="2A665688"/>
    <w:rsid w:val="2A7D74CC"/>
    <w:rsid w:val="2A7F4563"/>
    <w:rsid w:val="2AF55E2D"/>
    <w:rsid w:val="2B3F4C1F"/>
    <w:rsid w:val="2B4D1216"/>
    <w:rsid w:val="2B58393A"/>
    <w:rsid w:val="2B8030A5"/>
    <w:rsid w:val="2BC15658"/>
    <w:rsid w:val="2BE06712"/>
    <w:rsid w:val="2C095760"/>
    <w:rsid w:val="2C6E581C"/>
    <w:rsid w:val="2C7A7AA0"/>
    <w:rsid w:val="2CA30589"/>
    <w:rsid w:val="2D146D2C"/>
    <w:rsid w:val="2D155FB3"/>
    <w:rsid w:val="2D3B7B03"/>
    <w:rsid w:val="2D440581"/>
    <w:rsid w:val="2D470656"/>
    <w:rsid w:val="2D493ADC"/>
    <w:rsid w:val="2D55451C"/>
    <w:rsid w:val="2D5B158F"/>
    <w:rsid w:val="2DF144D1"/>
    <w:rsid w:val="2DFB6036"/>
    <w:rsid w:val="2E3472AB"/>
    <w:rsid w:val="2E3D031C"/>
    <w:rsid w:val="2EA86437"/>
    <w:rsid w:val="2EB103B1"/>
    <w:rsid w:val="2EB35AF1"/>
    <w:rsid w:val="2F0F71E6"/>
    <w:rsid w:val="2F383A5C"/>
    <w:rsid w:val="2F4559EE"/>
    <w:rsid w:val="2F742945"/>
    <w:rsid w:val="2F9D4B14"/>
    <w:rsid w:val="2FBE43F5"/>
    <w:rsid w:val="2FC53C32"/>
    <w:rsid w:val="2FD157C7"/>
    <w:rsid w:val="30090C48"/>
    <w:rsid w:val="300A115E"/>
    <w:rsid w:val="30296BB8"/>
    <w:rsid w:val="309D4655"/>
    <w:rsid w:val="30C026F3"/>
    <w:rsid w:val="315423FA"/>
    <w:rsid w:val="315B7AEC"/>
    <w:rsid w:val="317503B0"/>
    <w:rsid w:val="31D53C4D"/>
    <w:rsid w:val="31F71A11"/>
    <w:rsid w:val="31FE12AB"/>
    <w:rsid w:val="321A185A"/>
    <w:rsid w:val="321B4537"/>
    <w:rsid w:val="32513A45"/>
    <w:rsid w:val="32B50B2C"/>
    <w:rsid w:val="32C84DFE"/>
    <w:rsid w:val="3337740D"/>
    <w:rsid w:val="337F1035"/>
    <w:rsid w:val="33805DA1"/>
    <w:rsid w:val="338C56E4"/>
    <w:rsid w:val="33934B2E"/>
    <w:rsid w:val="339441CF"/>
    <w:rsid w:val="33C37075"/>
    <w:rsid w:val="34062C68"/>
    <w:rsid w:val="341C738A"/>
    <w:rsid w:val="348F0A80"/>
    <w:rsid w:val="34A26022"/>
    <w:rsid w:val="34B0567F"/>
    <w:rsid w:val="34B443F6"/>
    <w:rsid w:val="34E12F4E"/>
    <w:rsid w:val="34EC41DF"/>
    <w:rsid w:val="35040A33"/>
    <w:rsid w:val="351A24AD"/>
    <w:rsid w:val="35273121"/>
    <w:rsid w:val="354E123E"/>
    <w:rsid w:val="354F2AD2"/>
    <w:rsid w:val="35C36B07"/>
    <w:rsid w:val="35C60438"/>
    <w:rsid w:val="360D6591"/>
    <w:rsid w:val="361F2C5E"/>
    <w:rsid w:val="363976F7"/>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113643"/>
    <w:rsid w:val="396866FD"/>
    <w:rsid w:val="397E03C2"/>
    <w:rsid w:val="39BB3AC3"/>
    <w:rsid w:val="39DF043A"/>
    <w:rsid w:val="39FE32B3"/>
    <w:rsid w:val="3A070DC0"/>
    <w:rsid w:val="3A2065C7"/>
    <w:rsid w:val="3A34378D"/>
    <w:rsid w:val="3A36160B"/>
    <w:rsid w:val="3AEB3C21"/>
    <w:rsid w:val="3AFB6043"/>
    <w:rsid w:val="3B041E40"/>
    <w:rsid w:val="3B191C47"/>
    <w:rsid w:val="3B205806"/>
    <w:rsid w:val="3B295FAA"/>
    <w:rsid w:val="3B5C6A72"/>
    <w:rsid w:val="3B7F2CAA"/>
    <w:rsid w:val="3B8C6D25"/>
    <w:rsid w:val="3C1A13DF"/>
    <w:rsid w:val="3C3A4FEB"/>
    <w:rsid w:val="3C4F0EBB"/>
    <w:rsid w:val="3C635FA0"/>
    <w:rsid w:val="3C8659AE"/>
    <w:rsid w:val="3CA66A58"/>
    <w:rsid w:val="3CBE3C7C"/>
    <w:rsid w:val="3CD165D4"/>
    <w:rsid w:val="3CF316DB"/>
    <w:rsid w:val="3D39355A"/>
    <w:rsid w:val="3D3C44DD"/>
    <w:rsid w:val="3D5001A7"/>
    <w:rsid w:val="3D5B3EF0"/>
    <w:rsid w:val="3D5C58DF"/>
    <w:rsid w:val="3D9214B7"/>
    <w:rsid w:val="3DB23DD9"/>
    <w:rsid w:val="3E390C78"/>
    <w:rsid w:val="3E500D27"/>
    <w:rsid w:val="3E573ADE"/>
    <w:rsid w:val="3EA55E90"/>
    <w:rsid w:val="3ECD0998"/>
    <w:rsid w:val="3ED508CA"/>
    <w:rsid w:val="3F1109BC"/>
    <w:rsid w:val="3F1B7587"/>
    <w:rsid w:val="3F805B16"/>
    <w:rsid w:val="3FA42170"/>
    <w:rsid w:val="3FAF36DB"/>
    <w:rsid w:val="405759DA"/>
    <w:rsid w:val="406A14B3"/>
    <w:rsid w:val="407C15D8"/>
    <w:rsid w:val="409D1B0D"/>
    <w:rsid w:val="40F97CA8"/>
    <w:rsid w:val="41171B69"/>
    <w:rsid w:val="41202191"/>
    <w:rsid w:val="41415E9E"/>
    <w:rsid w:val="41883A8E"/>
    <w:rsid w:val="418A60B4"/>
    <w:rsid w:val="41B370D6"/>
    <w:rsid w:val="42212582"/>
    <w:rsid w:val="42755843"/>
    <w:rsid w:val="42794CE2"/>
    <w:rsid w:val="428704C4"/>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54C191C"/>
    <w:rsid w:val="45861251"/>
    <w:rsid w:val="459911EE"/>
    <w:rsid w:val="4599227F"/>
    <w:rsid w:val="45BE024B"/>
    <w:rsid w:val="45BE2AD4"/>
    <w:rsid w:val="45C2437E"/>
    <w:rsid w:val="45EA2721"/>
    <w:rsid w:val="46300B95"/>
    <w:rsid w:val="4699240B"/>
    <w:rsid w:val="46B7014A"/>
    <w:rsid w:val="46ED5CA5"/>
    <w:rsid w:val="46FE4C6E"/>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A36AB0"/>
    <w:rsid w:val="49A97E85"/>
    <w:rsid w:val="49D92DDD"/>
    <w:rsid w:val="49EF5321"/>
    <w:rsid w:val="4A347F6C"/>
    <w:rsid w:val="4A444508"/>
    <w:rsid w:val="4A456A14"/>
    <w:rsid w:val="4A66451F"/>
    <w:rsid w:val="4A9D0D79"/>
    <w:rsid w:val="4A9D45B8"/>
    <w:rsid w:val="4A9F545E"/>
    <w:rsid w:val="4AAB056F"/>
    <w:rsid w:val="4B08573B"/>
    <w:rsid w:val="4B626F00"/>
    <w:rsid w:val="4BC53B5B"/>
    <w:rsid w:val="4BE53FE4"/>
    <w:rsid w:val="4C340FD6"/>
    <w:rsid w:val="4C744BB3"/>
    <w:rsid w:val="4C964045"/>
    <w:rsid w:val="4CE2366D"/>
    <w:rsid w:val="4D010671"/>
    <w:rsid w:val="4D316B33"/>
    <w:rsid w:val="4D352FBB"/>
    <w:rsid w:val="4D743D8A"/>
    <w:rsid w:val="4DF70A62"/>
    <w:rsid w:val="4E2452B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623802"/>
    <w:rsid w:val="50652E94"/>
    <w:rsid w:val="506D1404"/>
    <w:rsid w:val="508700F4"/>
    <w:rsid w:val="50A970CD"/>
    <w:rsid w:val="50C72D83"/>
    <w:rsid w:val="5163596F"/>
    <w:rsid w:val="51642065"/>
    <w:rsid w:val="51895F2D"/>
    <w:rsid w:val="51A0460E"/>
    <w:rsid w:val="51A823AB"/>
    <w:rsid w:val="51CC648B"/>
    <w:rsid w:val="51E202B2"/>
    <w:rsid w:val="52030FE6"/>
    <w:rsid w:val="52065DA2"/>
    <w:rsid w:val="522E4D5D"/>
    <w:rsid w:val="524A71B5"/>
    <w:rsid w:val="52642695"/>
    <w:rsid w:val="5279373F"/>
    <w:rsid w:val="528B1069"/>
    <w:rsid w:val="528D5BD8"/>
    <w:rsid w:val="528F0DD4"/>
    <w:rsid w:val="52930D7F"/>
    <w:rsid w:val="5296438C"/>
    <w:rsid w:val="530F2B4C"/>
    <w:rsid w:val="5314074B"/>
    <w:rsid w:val="53144C5A"/>
    <w:rsid w:val="53AE0CB6"/>
    <w:rsid w:val="53D170F4"/>
    <w:rsid w:val="544F1C50"/>
    <w:rsid w:val="54606A92"/>
    <w:rsid w:val="54611A81"/>
    <w:rsid w:val="54C55FE7"/>
    <w:rsid w:val="55846FDD"/>
    <w:rsid w:val="55CD48C4"/>
    <w:rsid w:val="560C425A"/>
    <w:rsid w:val="562365CA"/>
    <w:rsid w:val="56340430"/>
    <w:rsid w:val="56581D59"/>
    <w:rsid w:val="568502CA"/>
    <w:rsid w:val="56B0773B"/>
    <w:rsid w:val="56C254B7"/>
    <w:rsid w:val="5709588E"/>
    <w:rsid w:val="571760EF"/>
    <w:rsid w:val="57792910"/>
    <w:rsid w:val="577A0DC0"/>
    <w:rsid w:val="5781180D"/>
    <w:rsid w:val="57C77D46"/>
    <w:rsid w:val="57CF4F1B"/>
    <w:rsid w:val="58201757"/>
    <w:rsid w:val="585818C8"/>
    <w:rsid w:val="58602168"/>
    <w:rsid w:val="5860738B"/>
    <w:rsid w:val="58A630CA"/>
    <w:rsid w:val="58AB4E89"/>
    <w:rsid w:val="58AD7356"/>
    <w:rsid w:val="58B5550E"/>
    <w:rsid w:val="58BD5C76"/>
    <w:rsid w:val="58C11261"/>
    <w:rsid w:val="58C34E9B"/>
    <w:rsid w:val="58D20175"/>
    <w:rsid w:val="59340E0B"/>
    <w:rsid w:val="59AD7B0E"/>
    <w:rsid w:val="59D55070"/>
    <w:rsid w:val="59DA18AC"/>
    <w:rsid w:val="59FD6E5D"/>
    <w:rsid w:val="5A2F5AF5"/>
    <w:rsid w:val="5A637B38"/>
    <w:rsid w:val="5A8D1386"/>
    <w:rsid w:val="5A93303B"/>
    <w:rsid w:val="5ABB6C3C"/>
    <w:rsid w:val="5AFF7905"/>
    <w:rsid w:val="5B1836AE"/>
    <w:rsid w:val="5B492C91"/>
    <w:rsid w:val="5B6B15AA"/>
    <w:rsid w:val="5B987BF7"/>
    <w:rsid w:val="5BAF6495"/>
    <w:rsid w:val="5BF25754"/>
    <w:rsid w:val="5C1E13B0"/>
    <w:rsid w:val="5C662A50"/>
    <w:rsid w:val="5C923EB9"/>
    <w:rsid w:val="5CC73DD6"/>
    <w:rsid w:val="5CEA2522"/>
    <w:rsid w:val="5CF2777D"/>
    <w:rsid w:val="5D2708E3"/>
    <w:rsid w:val="5D6346DD"/>
    <w:rsid w:val="5D664D05"/>
    <w:rsid w:val="5D7C584C"/>
    <w:rsid w:val="5D7F0635"/>
    <w:rsid w:val="5D894E7F"/>
    <w:rsid w:val="5D8D080D"/>
    <w:rsid w:val="5DBF6493"/>
    <w:rsid w:val="5DC12605"/>
    <w:rsid w:val="5E3A6AA2"/>
    <w:rsid w:val="5E3E4C2D"/>
    <w:rsid w:val="5E5867E1"/>
    <w:rsid w:val="5E674F7E"/>
    <w:rsid w:val="5E874CE8"/>
    <w:rsid w:val="5EB00E5C"/>
    <w:rsid w:val="5ED35331"/>
    <w:rsid w:val="5ED85791"/>
    <w:rsid w:val="5EE37831"/>
    <w:rsid w:val="5EEB7859"/>
    <w:rsid w:val="5F0A3D5F"/>
    <w:rsid w:val="5F213F68"/>
    <w:rsid w:val="5F2F6349"/>
    <w:rsid w:val="5F600D4E"/>
    <w:rsid w:val="5F956DDF"/>
    <w:rsid w:val="5F991667"/>
    <w:rsid w:val="5FA416F1"/>
    <w:rsid w:val="5FD93954"/>
    <w:rsid w:val="5FDC55D3"/>
    <w:rsid w:val="5FF469EE"/>
    <w:rsid w:val="5FFB0094"/>
    <w:rsid w:val="60160416"/>
    <w:rsid w:val="60305CC7"/>
    <w:rsid w:val="604A1238"/>
    <w:rsid w:val="60A62DBA"/>
    <w:rsid w:val="60C03CCF"/>
    <w:rsid w:val="60D42D03"/>
    <w:rsid w:val="60E62C9D"/>
    <w:rsid w:val="611B62E0"/>
    <w:rsid w:val="61A06374"/>
    <w:rsid w:val="622470A5"/>
    <w:rsid w:val="625D25EA"/>
    <w:rsid w:val="62857C4E"/>
    <w:rsid w:val="6286607D"/>
    <w:rsid w:val="62A62781"/>
    <w:rsid w:val="62E05FC6"/>
    <w:rsid w:val="62FD3864"/>
    <w:rsid w:val="63464F7D"/>
    <w:rsid w:val="634B0772"/>
    <w:rsid w:val="636E7A2E"/>
    <w:rsid w:val="63815A2A"/>
    <w:rsid w:val="63BF7E8E"/>
    <w:rsid w:val="63C01CBD"/>
    <w:rsid w:val="643F3D04"/>
    <w:rsid w:val="644204E6"/>
    <w:rsid w:val="64635DFB"/>
    <w:rsid w:val="64683A23"/>
    <w:rsid w:val="64AF3910"/>
    <w:rsid w:val="64BC2C9E"/>
    <w:rsid w:val="64C626B7"/>
    <w:rsid w:val="658066C4"/>
    <w:rsid w:val="65912A7B"/>
    <w:rsid w:val="660428AE"/>
    <w:rsid w:val="660D1E09"/>
    <w:rsid w:val="660E4242"/>
    <w:rsid w:val="662519F4"/>
    <w:rsid w:val="66354951"/>
    <w:rsid w:val="666A2C09"/>
    <w:rsid w:val="6679092A"/>
    <w:rsid w:val="669315AD"/>
    <w:rsid w:val="66BA2385"/>
    <w:rsid w:val="66DB09CF"/>
    <w:rsid w:val="66E96680"/>
    <w:rsid w:val="67237A0F"/>
    <w:rsid w:val="67487CFE"/>
    <w:rsid w:val="677038E2"/>
    <w:rsid w:val="677777A9"/>
    <w:rsid w:val="67B43783"/>
    <w:rsid w:val="67B92A72"/>
    <w:rsid w:val="67D547C2"/>
    <w:rsid w:val="68233F9E"/>
    <w:rsid w:val="689340A3"/>
    <w:rsid w:val="68A12E72"/>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707214"/>
    <w:rsid w:val="6B9C69D2"/>
    <w:rsid w:val="6BB104FC"/>
    <w:rsid w:val="6BC75657"/>
    <w:rsid w:val="6BD126F0"/>
    <w:rsid w:val="6BE1773A"/>
    <w:rsid w:val="6BE35659"/>
    <w:rsid w:val="6C2B66F7"/>
    <w:rsid w:val="6C56491E"/>
    <w:rsid w:val="6C5B64F3"/>
    <w:rsid w:val="6CB84F3A"/>
    <w:rsid w:val="6D05726A"/>
    <w:rsid w:val="6D673555"/>
    <w:rsid w:val="6D717C1E"/>
    <w:rsid w:val="6D92611A"/>
    <w:rsid w:val="6D981B81"/>
    <w:rsid w:val="6D994274"/>
    <w:rsid w:val="6DB90857"/>
    <w:rsid w:val="6DC267F1"/>
    <w:rsid w:val="6E032FC6"/>
    <w:rsid w:val="6E083615"/>
    <w:rsid w:val="6E0D26B4"/>
    <w:rsid w:val="6E185B0A"/>
    <w:rsid w:val="6E360FB8"/>
    <w:rsid w:val="6E44084F"/>
    <w:rsid w:val="6E4F3DA5"/>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81874"/>
    <w:rsid w:val="6FFD00DA"/>
    <w:rsid w:val="70352925"/>
    <w:rsid w:val="70505871"/>
    <w:rsid w:val="7059136B"/>
    <w:rsid w:val="706B4405"/>
    <w:rsid w:val="70801B07"/>
    <w:rsid w:val="709A7A5C"/>
    <w:rsid w:val="70A1406F"/>
    <w:rsid w:val="715B3C2A"/>
    <w:rsid w:val="71803C89"/>
    <w:rsid w:val="71852790"/>
    <w:rsid w:val="71994E64"/>
    <w:rsid w:val="71EA7695"/>
    <w:rsid w:val="71EE7FB9"/>
    <w:rsid w:val="72536FDC"/>
    <w:rsid w:val="727D75DF"/>
    <w:rsid w:val="72D36E77"/>
    <w:rsid w:val="72FB66FD"/>
    <w:rsid w:val="732872C5"/>
    <w:rsid w:val="7360086A"/>
    <w:rsid w:val="739A0DC0"/>
    <w:rsid w:val="73B920B2"/>
    <w:rsid w:val="73D96E71"/>
    <w:rsid w:val="74085669"/>
    <w:rsid w:val="74412921"/>
    <w:rsid w:val="7475710D"/>
    <w:rsid w:val="747621BD"/>
    <w:rsid w:val="75086A21"/>
    <w:rsid w:val="750B356A"/>
    <w:rsid w:val="750C4DDC"/>
    <w:rsid w:val="7510569F"/>
    <w:rsid w:val="756950CA"/>
    <w:rsid w:val="75922EAF"/>
    <w:rsid w:val="75AD28A1"/>
    <w:rsid w:val="75C224B9"/>
    <w:rsid w:val="76013E56"/>
    <w:rsid w:val="760A7D9D"/>
    <w:rsid w:val="763E51CC"/>
    <w:rsid w:val="766026E6"/>
    <w:rsid w:val="76B770A6"/>
    <w:rsid w:val="76CE7275"/>
    <w:rsid w:val="76E4362B"/>
    <w:rsid w:val="770A1659"/>
    <w:rsid w:val="7712242B"/>
    <w:rsid w:val="771F60E4"/>
    <w:rsid w:val="773A7A8E"/>
    <w:rsid w:val="77B91A42"/>
    <w:rsid w:val="77C5780E"/>
    <w:rsid w:val="77F04406"/>
    <w:rsid w:val="782F327E"/>
    <w:rsid w:val="78397A32"/>
    <w:rsid w:val="78A06277"/>
    <w:rsid w:val="78BC2338"/>
    <w:rsid w:val="78C64F8E"/>
    <w:rsid w:val="791A1EB8"/>
    <w:rsid w:val="798E4E1E"/>
    <w:rsid w:val="79A37A59"/>
    <w:rsid w:val="79C61A14"/>
    <w:rsid w:val="79EE5B89"/>
    <w:rsid w:val="79F05A1B"/>
    <w:rsid w:val="7A020CA3"/>
    <w:rsid w:val="7A067805"/>
    <w:rsid w:val="7AA408FA"/>
    <w:rsid w:val="7B123707"/>
    <w:rsid w:val="7B307625"/>
    <w:rsid w:val="7B347CEC"/>
    <w:rsid w:val="7B576B4E"/>
    <w:rsid w:val="7B605B7E"/>
    <w:rsid w:val="7B6D63A7"/>
    <w:rsid w:val="7B761608"/>
    <w:rsid w:val="7BB57E40"/>
    <w:rsid w:val="7C105077"/>
    <w:rsid w:val="7C416F95"/>
    <w:rsid w:val="7C4E5B9F"/>
    <w:rsid w:val="7C580760"/>
    <w:rsid w:val="7C8B3404"/>
    <w:rsid w:val="7C9C47E0"/>
    <w:rsid w:val="7C9E070C"/>
    <w:rsid w:val="7CBB152F"/>
    <w:rsid w:val="7D2C343C"/>
    <w:rsid w:val="7D4C3183"/>
    <w:rsid w:val="7D9314F6"/>
    <w:rsid w:val="7DBE5AB2"/>
    <w:rsid w:val="7DDB441F"/>
    <w:rsid w:val="7E4B1AB3"/>
    <w:rsid w:val="7E58216F"/>
    <w:rsid w:val="7E70415D"/>
    <w:rsid w:val="7E7F1745"/>
    <w:rsid w:val="7E886BD8"/>
    <w:rsid w:val="7E922F1E"/>
    <w:rsid w:val="7E9C1A45"/>
    <w:rsid w:val="7EEF7176"/>
    <w:rsid w:val="7F5D7752"/>
    <w:rsid w:val="7F7A668F"/>
    <w:rsid w:val="7F7C1BAA"/>
    <w:rsid w:val="7F852863"/>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qFormat/>
    <w:uiPriority w:val="0"/>
    <w:pPr>
      <w:tabs>
        <w:tab w:val="left" w:pos="432"/>
        <w:tab w:val="left" w:pos="1002"/>
      </w:tabs>
      <w:ind w:left="1701" w:hanging="1701"/>
      <w:outlineLvl w:val="4"/>
    </w:pPr>
    <w:rPr>
      <w:sz w:val="22"/>
    </w:rPr>
  </w:style>
  <w:style w:type="character" w:default="1" w:styleId="16">
    <w:name w:val="Default Paragraph Font"/>
    <w:semiHidden/>
    <w:unhideWhenUsed/>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N"/>
    <w:basedOn w:val="38"/>
    <w:autoRedefine/>
    <w:qFormat/>
    <w:uiPriority w:val="0"/>
    <w:pPr>
      <w:ind w:left="851" w:hanging="851"/>
    </w:pPr>
    <w:rPr>
      <w:rFonts w:eastAsia="Malgun Gothic" w:cs="Arial"/>
      <w:szCs w:val="18"/>
    </w:rPr>
  </w:style>
  <w:style w:type="paragraph" w:customStyle="1" w:styleId="38">
    <w:name w:val="TAL"/>
    <w:basedOn w:val="1"/>
    <w:autoRedefine/>
    <w:qFormat/>
    <w:uiPriority w:val="0"/>
    <w:pPr>
      <w:keepNext/>
      <w:keepLines/>
    </w:pPr>
    <w:rPr>
      <w:rFonts w:ascii="Arial" w:hAnsi="Arial" w:eastAsia="MS Mincho"/>
      <w:sz w:val="18"/>
      <w:szCs w:val="20"/>
    </w:rPr>
  </w:style>
  <w:style w:type="paragraph" w:customStyle="1" w:styleId="3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1529</Words>
  <Characters>8720</Characters>
  <Lines>72</Lines>
  <Paragraphs>20</Paragraphs>
  <TotalTime>1</TotalTime>
  <ScaleCrop>false</ScaleCrop>
  <LinksUpToDate>false</LinksUpToDate>
  <CharactersWithSpaces>10229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CMCC-Jiayao</cp:lastModifiedBy>
  <dcterms:modified xsi:type="dcterms:W3CDTF">2024-05-10T08:34:58Z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D11AD9862C3F4D0A9B13EC5760170BA4_13</vt:lpwstr>
  </property>
</Properties>
</file>